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0"/>
        <w:ind w:firstLine="0"/>
        <w:jc w:val="center"/>
        <w:spacing w:line="240" w:lineRule="auto"/>
        <w:shd w:val="clear" w:color="auto" w:fill="ffffff"/>
        <w:tabs>
          <w:tab w:val="clear" w:pos="708" w:leader="none"/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№ _______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830"/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830"/>
        <w:ind w:firstLine="0"/>
        <w:jc w:val="center"/>
        <w:spacing w:line="240" w:lineRule="auto"/>
        <w:shd w:val="clear" w:color="auto" w:fill="ffffff"/>
        <w:tabs>
          <w:tab w:val="clear" w:pos="708" w:leader="none"/>
          <w:tab w:val="right" w:pos="993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г. Нерюнгри                         </w:t>
        <w:tab/>
        <w:tab/>
        <w:tab/>
        <w:tab/>
        <w:tab/>
        <w:tab/>
        <w:t xml:space="preserve">                      «___» _______ 2026г.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0"/>
        <w:ind w:firstLine="0"/>
        <w:spacing w:line="240" w:lineRule="auto"/>
        <w:shd w:val="clear" w:color="auto" w:fill="ffffff"/>
        <w:tabs>
          <w:tab w:val="clear" w:pos="708" w:leader="none"/>
          <w:tab w:val="right" w:pos="9639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13"/>
        <w:ind w:firstLine="708"/>
        <w:rPr>
          <w:color w:val="auto"/>
        </w:rPr>
      </w:pPr>
      <w:r>
        <w:rPr>
          <w:b/>
          <w:color w:val="000000" w:themeColor="text1"/>
        </w:rPr>
        <w:t xml:space="preserve">Акционерное общество «Дальневосточная генерирующая компания» (АО «ДГК»)</w:t>
      </w:r>
      <w:r>
        <w:rPr>
          <w:color w:val="000000" w:themeColor="text1"/>
        </w:rPr>
        <w:t xml:space="preserve"> (далее – «Заказчик»), в лице __________________, действующего на основании _________, с одной стороны, и _____________</w:t>
      </w:r>
      <w:r>
        <w:rPr>
          <w:color w:val="000000"/>
        </w:rPr>
        <w:t xml:space="preserve"> </w:t>
      </w:r>
      <w:r>
        <w:rPr>
          <w:b/>
          <w:color w:val="000000"/>
        </w:rPr>
        <w:t xml:space="preserve">(_____________)</w:t>
      </w:r>
      <w:r>
        <w:rPr>
          <w:color w:val="000000"/>
        </w:rPr>
        <w:t xml:space="preserve"> </w:t>
      </w:r>
      <w:r>
        <w:rPr>
          <w:color w:val="000000" w:themeColor="text1"/>
        </w:rPr>
        <w:t xml:space="preserve"> (далее – «Подрядчик»), в лице __________________, действующего на основании ___________, с другой стороны, совместно в дальнейшем именуемые «Стороны», </w:t>
      </w:r>
      <w:r>
        <w:rPr>
          <w:color w:val="auto"/>
        </w:rPr>
        <w:t xml:space="preserve">а</w:t>
      </w:r>
      <w:r>
        <w:rPr>
          <w:color w:val="auto"/>
        </w:rPr>
        <w:t xml:space="preserve"> по отдельности – «Сторона», по результатам проведенной Заказчиком конкурентной процедуры по лоту № 441023009-ЭКСП ПРОД-2026-ДГК-НерГРЭС, и на основании Протокола №_____ от «___»______2026г., заключили настоящий договор (далее – «Договор») о нижеследующем:</w:t>
      </w:r>
      <w:r>
        <w:rPr>
          <w:color w:val="auto"/>
        </w:rPr>
      </w:r>
      <w:r>
        <w:rPr>
          <w:color w:val="auto"/>
        </w:rPr>
      </w:r>
    </w:p>
    <w:p>
      <w:pPr>
        <w:pStyle w:val="913"/>
        <w:ind w:firstLine="708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926"/>
        <w:ind w:left="0" w:firstLine="0"/>
        <w:jc w:val="both"/>
        <w:shd w:val="clear" w:color="auto" w:fill="ffffff"/>
        <w:tabs>
          <w:tab w:val="left" w:pos="284" w:leader="none"/>
          <w:tab w:val="clear" w:pos="708" w:leader="none"/>
          <w:tab w:val="left" w:pos="3894" w:leader="none"/>
        </w:tabs>
        <w:rPr>
          <w:b/>
          <w:bCs/>
        </w:rPr>
      </w:pPr>
      <w:r>
        <w:rPr>
          <w:b/>
          <w:bCs/>
        </w:rPr>
        <w:tab/>
        <w:tab/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913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926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 и использованных Материально-технических ресурсов и оборудования должно соответствовать требованиям Договора, Проектной документации, Рабочей документа</w:t>
      </w:r>
      <w:r>
        <w:rPr>
          <w:lang w:eastAsia="en-US"/>
        </w:rPr>
        <w:t xml:space="preserve">ции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освидет</w:t>
      </w:r>
      <w:r>
        <w:rPr>
          <w:lang w:eastAsia="en-US"/>
        </w:rPr>
        <w:t xml:space="preserve">ельствовании выполненных работ, предусмотренных Договором,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bCs/>
          <w:sz w:val="24"/>
          <w:szCs w:val="24"/>
        </w:rPr>
        <w:t xml:space="preserve">«НГВК»</w:t>
      </w:r>
      <w:r>
        <w:rPr>
          <w:sz w:val="24"/>
          <w:szCs w:val="24"/>
        </w:rPr>
        <w:t xml:space="preserve"> – Нерюнгринская городская водогрейная котельная.</w:t>
      </w:r>
      <w:r>
        <w:rPr>
          <w:lang w:eastAsia="en-US"/>
        </w:rPr>
      </w:r>
      <w:r>
        <w:rPr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«Объект»</w:t>
      </w:r>
      <w:r>
        <w:rPr>
          <w:lang w:eastAsia="en-US"/>
        </w:rPr>
        <w:t xml:space="preserve"> – </w:t>
      </w:r>
      <w:r>
        <w:rPr>
          <w:sz w:val="24"/>
          <w:lang w:eastAsia="en-US"/>
        </w:rPr>
        <w:t xml:space="preserve">объект основных средств Заказчика и / или совокупность технологически связанных объектов основных средств Заказчика, </w:t>
      </w:r>
      <w:r>
        <w:rPr>
          <w:sz w:val="24"/>
        </w:rPr>
        <w:t xml:space="preserve">указанных в Техническом задании (Приложение №1 к Договору)</w:t>
      </w:r>
      <w:r>
        <w:rPr>
          <w:sz w:val="24"/>
          <w:lang w:eastAsia="en-US"/>
        </w:rPr>
        <w:t xml:space="preserve">, в отношении которого целесообразна / необходима самостоятельная приемка, опробование</w:t>
      </w:r>
      <w:r>
        <w:rPr>
          <w:lang w:eastAsia="en-US"/>
        </w:rPr>
        <w:t xml:space="preserve">. 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926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clear" w:pos="708" w:leader="none"/>
          <w:tab w:val="left" w:pos="1134" w:leader="none"/>
        </w:tabs>
        <w:rPr>
          <w:lang w:eastAsia="en-US"/>
        </w:rPr>
      </w:pPr>
      <w:r>
        <w:rPr>
          <w:b/>
          <w:bCs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lang w:eastAsia="en-US"/>
        </w:rPr>
      </w:r>
      <w:r>
        <w:rPr>
          <w:lang w:eastAsia="en-US"/>
        </w:rPr>
      </w:r>
    </w:p>
    <w:p>
      <w:pPr>
        <w:pStyle w:val="833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«Применимое право»</w:t>
      </w:r>
      <w:r>
        <w:rPr>
          <w:b w:val="0"/>
          <w:bCs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</w:t>
      </w:r>
      <w:r>
        <w:rPr>
          <w:b w:val="0"/>
          <w:bCs w:val="0"/>
          <w:sz w:val="24"/>
          <w:szCs w:val="24"/>
          <w:lang w:eastAsia="en-US"/>
        </w:rPr>
        <w:t xml:space="preserve">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</w:t>
      </w:r>
      <w:r>
        <w:rPr>
          <w:b w:val="0"/>
          <w:bCs w:val="0"/>
          <w:sz w:val="24"/>
          <w:szCs w:val="24"/>
          <w:lang w:eastAsia="en-US"/>
        </w:rPr>
        <w:t xml:space="preserve">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833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«Работы»</w:t>
      </w:r>
      <w:r>
        <w:rPr>
          <w:b w:val="0"/>
          <w:bCs w:val="0"/>
          <w:sz w:val="24"/>
          <w:szCs w:val="24"/>
          <w:lang w:eastAsia="en-US"/>
        </w:rPr>
        <w:t xml:space="preserve"> – все выполняемые Подрядчиком на свой риск, с использованием своих и / или привлеченных за свой счет сил и средств (оборудования, инструмента), в соответствии с условиями Договора и Применимым правом работы, в том числе: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недостатков, несоответствий в Результате работ, а также любые иные работы, необходимые для выполнения Подрядчиком своих обязательств по Договору, независимо от их прямого указания в Договоре.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ind w:firstLine="708"/>
        <w:spacing w:line="240" w:lineRule="auto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«Рабочий день»</w:t>
      </w:r>
      <w:r>
        <w:rPr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3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«Результат Работ»</w:t>
      </w:r>
      <w:r>
        <w:rPr>
          <w:b w:val="0"/>
          <w:bCs w:val="0"/>
          <w:sz w:val="24"/>
          <w:szCs w:val="24"/>
          <w:lang w:eastAsia="en-US"/>
        </w:rPr>
        <w:t xml:space="preserve"> – готовый к эксплуатации Объект, принятый Заказчиком по Акту о приемке выполненных работ</w:t>
      </w:r>
      <w:r>
        <w:rPr>
          <w:b w:val="0"/>
          <w:bCs w:val="0"/>
          <w:sz w:val="24"/>
          <w:szCs w:val="24"/>
          <w:lang w:eastAsia="en-US"/>
        </w:rPr>
        <w:t xml:space="preserve"> и соответствующий требованиям, изложенным в Техническом задании (Приложение № 1 к Договору), в том числе требованиям к отчетным документам (состав, количество, формат, носитель и т.д.), подлежащим передаче Подрядчиком Заказчику в составе Результата Работ.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830"/>
        <w:ind w:firstLine="708"/>
        <w:spacing w:line="240" w:lineRule="auto"/>
        <w:rPr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 xml:space="preserve">«СМП»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33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«Техническое задание»</w:t>
      </w:r>
      <w:r>
        <w:rPr>
          <w:b w:val="0"/>
          <w:bCs w:val="0"/>
          <w:sz w:val="24"/>
          <w:szCs w:val="24"/>
          <w:lang w:eastAsia="en-US"/>
        </w:rPr>
        <w:t xml:space="preserve"> – документ, содержащий исходные данные, объем и состав Работ по Договору, а также требования Заказчика к выполнению Подрядчиком Работ по Договору в целом.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833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b w:val="0"/>
          <w:bCs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«Цена Договора предельная»</w:t>
      </w:r>
      <w:r>
        <w:rPr>
          <w:b w:val="0"/>
          <w:bCs w:val="0"/>
          <w:sz w:val="24"/>
          <w:szCs w:val="24"/>
          <w:lang w:eastAsia="en-US"/>
        </w:rPr>
        <w:t xml:space="preserve"> – определяемая в соотве</w:t>
      </w:r>
      <w:r>
        <w:rPr>
          <w:b w:val="0"/>
          <w:bCs w:val="0"/>
          <w:sz w:val="24"/>
          <w:szCs w:val="24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833"/>
        <w:ind w:firstLine="708"/>
        <w:jc w:val="both"/>
        <w:keepNext w:val="0"/>
        <w:spacing w:before="0" w:after="0"/>
        <w:widowControl w:val="off"/>
        <w:tabs>
          <w:tab w:val="left" w:pos="567" w:leader="none"/>
          <w:tab w:val="clear" w:pos="708" w:leader="none"/>
        </w:tabs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4" w:name="_Ref361410951"/>
      <w:r>
        <w:t xml:space="preserve">Подрядчик обязуется в соответствии с Техническим заданием (Приложение № 1 к Договору) выполнить </w:t>
      </w:r>
      <w:r>
        <w:rPr>
          <w:rFonts w:eastAsia="Calibri"/>
          <w:sz w:val="24"/>
          <w:szCs w:val="24"/>
        </w:rPr>
        <w:t xml:space="preserve">работы по  чистке чаши шлакозолоотвалов Чульманской ТЭЦ, пос. Чульман и НГВК, г. Нерюнгри</w:t>
      </w:r>
      <w:r>
        <w:t xml:space="preserve">,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>
        <w:t xml:space="preserve">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Объем Работ по Договору определяется в соответствии с Ведомостью объёмов работ (Приложение № 1.1 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Работы по Договору выполняются для нужд структурного подразделения Заказчика </w:t>
      </w:r>
      <w:r>
        <w:rPr>
          <w:highlight w:val="none"/>
        </w:rPr>
        <w:t xml:space="preserve">«Нерюнгринская ГРЭС». 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Место выполнения Работ: НГВК г. Нерюнгри., Чульманская ТЭЦ., улица Советская  37, пгт. Чульма</w:t>
      </w:r>
      <w:r>
        <w:rPr>
          <w:highlight w:val="none"/>
        </w:rPr>
        <w:t xml:space="preserve">н.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5" w:name="_Ref361320424"/>
      <w:r>
        <w:rPr>
          <w:highlight w:val="none"/>
        </w:rPr>
        <w:t xml:space="preserve">Работы выполняются Подрядчиком в следующие сроки:</w:t>
      </w:r>
      <w:bookmarkEnd w:id="5"/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начало выполнения Работ: с даты заключения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highlight w:val="none"/>
        </w:rPr>
      </w:pPr>
      <w:r>
        <w:rPr>
          <w:sz w:val="24"/>
          <w:szCs w:val="24"/>
          <w:highlight w:val="none"/>
        </w:rPr>
        <w:t xml:space="preserve">окончание выполнения Работ: до 31.12.2026 г.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  <w:t xml:space="preserve">промежуточные сроки выполнения работ и их объем устанавливаются плановой ведомостью объемов работ на месяц.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830"/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Права и обязанности Сторон 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rPr>
          <w:highlight w:val="none"/>
        </w:rPr>
      </w:r>
      <w:r>
        <w:rPr>
          <w:highlight w:val="none"/>
        </w:rPr>
        <w:t xml:space="preserve">Н</w:t>
      </w:r>
      <w:r>
        <w:rPr>
          <w:highlight w:val="none"/>
        </w:rPr>
        <w:t xml:space="preserve">аправить не позднее 20 числе месяца, предшествующему месяцу оказания Ведомость объемов работ на электронную почту Подрядчика ______________________. Автоматический ответ о получении Подрядчиком сообщения с Ведомостью объемов работ является достаточным подт</w:t>
      </w:r>
      <w:r>
        <w:rPr>
          <w:highlight w:val="none"/>
        </w:rPr>
        <w:t xml:space="preserve">верждением о получении последним Ведомости объемов работ. Ведомость объемов работ является обязательной к исполнению. </w:t>
      </w:r>
      <w:r>
        <w:rPr>
          <w:highlight w:val="none"/>
        </w:rPr>
        <w:t xml:space="preserve"> </w:t>
      </w:r>
      <w:r>
        <w:rPr>
          <w:highlight w:val="none"/>
        </w:rPr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</w:pPr>
      <w:r>
        <w:t xml:space="preserve">Принять и оплатить выполненные Подрядчиком Работы на условиях, по цене и в сроки, предусмотренные Договором.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</w:pPr>
      <w:r>
        <w:t xml:space="preserve">Выполнять иные обязанности, предусмотренные Договором.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u w:val="single"/>
        </w:rPr>
        <w:t xml:space="preserve">Заказчик имеет право</w:t>
      </w:r>
      <w:r>
        <w:t xml:space="preserve">: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Самостоятельно или с привлечением третьих лиц осуществлять контроль и надзор за ходом и</w:t>
      </w:r>
      <w:r>
        <w:t xml:space="preserve"> качеством выполняемых Подрядчиком по Договору Работ, соблюдением сроков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bookmarkStart w:id="6" w:name="_Ref361334652"/>
      <w: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</w:t>
      </w:r>
      <w:r>
        <w:t xml:space="preserve">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</w:t>
      </w:r>
      <w:r>
        <w:t xml:space="preserve">странения таких нарушений. При этом Заказчик не будет считаться просрочившим и / или нарушившим свои обязательства по Договору. Приостановка Работ по причинам, указанным в настоящем пункте, не является основанием для продления сроков выполнения Подрядчиком</w:t>
      </w:r>
      <w: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6"/>
      <w:r>
        <w:t xml:space="preserve">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bookmarkStart w:id="7" w:name="_Ref361334468"/>
      <w:r>
        <w:t xml:space="preserve">Изымать пропуска и не допускать на территорию Заказчика работников Подрядчик</w:t>
      </w:r>
      <w:r>
        <w:t xml:space="preserve">а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7"/>
      <w:r/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highlight w:val="none"/>
        </w:rPr>
      </w:pPr>
      <w:r/>
      <w:bookmarkStart w:id="8" w:name="_Ref361319348"/>
      <w: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</w:t>
      </w:r>
      <w:r>
        <w:rPr>
          <w:highlight w:val="none"/>
        </w:rPr>
        <w:t xml:space="preserve">Подрядчиком.</w:t>
      </w:r>
      <w:bookmarkEnd w:id="8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Давать П</w:t>
      </w:r>
      <w:r>
        <w:rPr>
          <w:highlight w:val="none"/>
        </w:rPr>
        <w:t xml:space="preserve">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709" w:leader="none"/>
        </w:tabs>
      </w:pPr>
      <w:r>
        <w:t xml:space="preserve">Использовать Результат работ по своему усмотрению, в том числе передавать Результат работ третьим лицам без письменного согласия Подрядчика.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u w:val="single"/>
        </w:rPr>
        <w:t xml:space="preserve">Подрядчик обязан</w:t>
      </w:r>
      <w:r>
        <w:t xml:space="preserve">: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Собственными силами, без привлечения к исполнению обязательств по Договору сторонних организаций, выполнить Работы в объеме, сроки и с качеством, соответствующим требованиям Договора и Применимого права и сдать их результат Заказчику.</w:t>
      </w:r>
      <w:r/>
    </w:p>
    <w:p>
      <w:pPr>
        <w:pStyle w:val="830"/>
        <w:numPr>
          <w:ilvl w:val="2"/>
          <w:numId w:val="3"/>
        </w:numPr>
        <w:ind w:left="0" w:firstLine="709"/>
        <w:spacing w:line="240" w:lineRule="auto"/>
        <w:widowControl w:val="off"/>
        <w:tabs>
          <w:tab w:val="clear" w:pos="708" w:leader="none"/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Запрашивать и п</w:t>
      </w:r>
      <w:r>
        <w:rPr>
          <w:sz w:val="24"/>
          <w:szCs w:val="24"/>
        </w:rPr>
        <w:t xml:space="preserve">олучать все исходные данные, необходимые для выполнения Работ по Договору, за исключением исходных данных, содержащихся в технической и иной документации, которую в соответствии Техническим заданием (Приложение № 1 к Договору) должен предоставить Заказчик.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numPr>
          <w:ilvl w:val="2"/>
          <w:numId w:val="3"/>
        </w:numPr>
        <w:ind w:left="0" w:firstLine="709"/>
        <w:spacing w:line="240" w:lineRule="auto"/>
        <w:widowControl w:val="off"/>
        <w:tabs>
          <w:tab w:val="clear" w:pos="708" w:leader="none"/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 начала выполнения Работ предоставить Заказчику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Обеспечить сохранность переданной Заказчиком по актам сдачи-приемки технической и иной документации, а также возврат ее Заказчику не позднее дат</w:t>
      </w:r>
      <w:r>
        <w:t xml:space="preserve">ы окончания выполнения Работ, указанной в пункте 1.5.2 Договора, либо, в случаях прекращения (расторжения) Договора, указанных в пункте 2.2.2 и разделе 11 Договора, – не позднее 3 (трех) рабочих дней с даты получения соответствующего требования Заказчика.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Не передавать Результат работ, а также иные док</w:t>
      </w:r>
      <w:r>
        <w:t xml:space="preserve">ументы, оформленные или полученные в ходе выполнения Подрядчиком обязательств по Договору, третьим лицам без письменного согласия Заказчика, за исключением случаев, когда такая передача предусмотрена законодательством Российской Федерации и / или Договором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Выполнять Работы силами квалифицированных специалистов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выполнении Работ.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Провести инструктаж персонала, задействованного при выполнении Работ на территории Заказчика, обеспечит</w:t>
      </w:r>
      <w:r>
        <w:t xml:space="preserve">ь соблюдение (в том числе указанным персоналом) правил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Обесп</w:t>
      </w:r>
      <w: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color w:val="ff0000"/>
        </w:rPr>
      </w:pPr>
      <w:r>
        <w:t xml:space="preserve">В случае применения контролирующими органами штрафных санкций к Заказчику по фактам нарушения Подрядчиком требований охраны тру</w:t>
      </w:r>
      <w:r>
        <w:t xml:space="preserve">да,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</w:t>
      </w:r>
      <w:r>
        <w:rPr>
          <w:color w:val="ff0000"/>
        </w:rPr>
        <w:t xml:space="preserve">.</w:t>
      </w:r>
      <w:r>
        <w:rPr>
          <w:color w:val="ff0000"/>
        </w:rPr>
      </w:r>
      <w:r>
        <w:rPr>
          <w:color w:val="ff0000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Передать Заказчику Результат работ, соответствующий требованиям Договора.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Подрядчика. </w:t>
      </w:r>
      <w:r/>
    </w:p>
    <w:p>
      <w:pPr>
        <w:pStyle w:val="830"/>
        <w:ind w:firstLine="709"/>
        <w:spacing w:line="240" w:lineRule="auto"/>
        <w:shd w:val="clear" w:color="auto" w:fill="ffffff"/>
        <w:tabs>
          <w:tab w:val="clear" w:pos="708" w:leader="none"/>
          <w:tab w:val="left" w:pos="1418" w:leader="none"/>
        </w:tabs>
      </w:pPr>
      <w:r>
        <w:rPr>
          <w:sz w:val="24"/>
          <w:szCs w:val="24"/>
        </w:rPr>
        <w:t xml:space="preserve">В случае, если такие указания могут привести к увеличению Цены Договора и сроков выполнения Работ, Подрядчик </w:t>
      </w:r>
      <w:r>
        <w:rPr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/>
    </w:p>
    <w:p>
      <w:pPr>
        <w:pStyle w:val="830"/>
        <w:ind w:firstLine="709"/>
        <w:spacing w:line="240" w:lineRule="auto"/>
        <w:shd w:val="clear" w:color="auto" w:fill="ffffff"/>
        <w:tabs>
          <w:tab w:val="clear" w:pos="708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н</w:t>
      </w:r>
      <w:r>
        <w:rPr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2.3.13.1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2.3.13.1 Договора.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926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</w:pPr>
      <w: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/>
    </w:p>
    <w:p>
      <w:pPr>
        <w:pStyle w:val="926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</w:pPr>
      <w:r>
        <w:t xml:space="preserve">отклонения</w:t>
      </w:r>
      <w: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/>
    </w:p>
    <w:p>
      <w:pPr>
        <w:pStyle w:val="926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</w:pPr>
      <w:r>
        <w:t xml:space="preserve">любых иных обстоятельств, угрожа</w:t>
      </w:r>
      <w:r>
        <w:t xml:space="preserve">ющих годности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/>
    </w:p>
    <w:p>
      <w:pPr>
        <w:pStyle w:val="926"/>
        <w:ind w:left="0" w:firstLine="709"/>
        <w:jc w:val="both"/>
        <w:shd w:val="clear" w:color="auto" w:fill="ffffff"/>
        <w:tabs>
          <w:tab w:val="left" w:pos="567" w:leader="none"/>
          <w:tab w:val="clear" w:pos="708" w:leader="none"/>
        </w:tabs>
      </w:pPr>
      <w:r>
        <w:t xml:space="preserve">Невыполнение Подрядчиком требований пункта 2.3.13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 требованию</w:t>
      </w:r>
      <w:r>
        <w:t xml:space="preserve"> и в сроки, установленные Заказчиком, своими силами, средствами и за свой счет устранять недостатки, несоответствия, выявленные Заказчиком, а также недостатки и несоответствия, связанные с несогласованными с Заказчиком отступлениями от требований Договора.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Незамедлительно приступить к устранению недостатков Результата работ, о которых ему стало известно.</w:t>
      </w:r>
      <w:r/>
    </w:p>
    <w:p>
      <w:pPr>
        <w:pStyle w:val="926"/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Подрядчик несет ответственность за несоответствие Результата работ Техническому заданию (Приложение №1 к Договору), Исходно-разрешительной документации, предоставленным Заказчиком положениям Применимого права.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Соблюдать требования по охране труда, охране окружающей среды, гражданской обороны, предупреждению и ликвидации ЧС природного и техногенного характера, правила пожарной и промышленной безопасности, антитеррористической защищ</w:t>
      </w:r>
      <w:r>
        <w:t xml:space="preserve">енности, санитарно-гигиенические требования, правила техники безопасности, а также правила обращения с электроприборами, иные действующие правила по эксплуатации и техническому обслуживанию зданий, строений и сооружений аналогичного типа и предназначения.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Назначить приказом ответственных за пожарную безопасность объекта и ответственного за осуществление производственного контроля за соблюде</w:t>
      </w:r>
      <w:r>
        <w:t xml:space="preserve">нием требований промышленной безопасности на опасных производственных объектах, материально ответственных лиц за всё эксплуатируемое имущество, и предоставить Заказчику копию такого приказа в срок не позднее 5 (пяти) рабочих дней с даты подписания Договора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Освободить Заказчика от любой ответственности и выплат по всем претензиям, требованиям и судебным искам, предъявляемы</w:t>
      </w:r>
      <w:r>
        <w:t xml:space="preserve">м третьими лицами в связи с выполнением Работ, а также возместить любой ущерб и штрафные санкции, связанные с причинением Подрядчиком вреда жизни или здоровью людей, имуществу Заказчика или третьих лиц, а также фактам нарушения Подрядчиком правил пожарной </w:t>
      </w:r>
      <w:r>
        <w:t xml:space="preserve">безопасности, техники безопасности, требований природоохранного законодательства, включая затраты, связанные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</w:t>
      </w:r>
      <w:r>
        <w:t xml:space="preserve">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оплату работ в сверхурочное время, ночное время,</w:t>
      </w:r>
      <w:r>
        <w:t xml:space="preserve"> в официальные праздники и выходные дни, а также транспортные расходы, вызванные срочностью проведения работ, в том числе в случае, если такой ущерб причинен в результате недостатков выполненных Работ, без какого-либо ограничения размера такого возмещения.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 случае предъявления налоговыми органами претензий и требований</w:t>
      </w:r>
      <w:r>
        <w:t xml:space="preserve"> к Заказчику, связанных с недобросовестностью Подрядчика, 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В случае каких-либо изменений в цепочке собственников, включая бенефициаров, и (или) исполнительных органах, предоставить соответствующую информацию не по</w:t>
      </w:r>
      <w:r>
        <w:t xml:space="preserve">зднее 5 (пяти) календарных дней после таких изменений (по форме Приложения №6 к Договору). Не предоставление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</w:t>
      </w:r>
      <w:r>
        <w:t xml:space="preserve">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</w:t>
      </w:r>
      <w:r>
        <w:t xml:space="preserve">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Подрядчик согласен на раскрытие Заказчиком предоставленной Подрядчиком информации,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</w:t>
      </w:r>
      <w:r>
        <w:t xml:space="preserve">формацию и подтверждающие документы указанным органам, Подрядчик, предоставляя Заказчику информацию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Исполнять иные обязанности, предусмотренные Договором и законодательством Российской Федерации.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u w:val="single"/>
        </w:rPr>
        <w:t xml:space="preserve">Подрядчик имеет право</w:t>
      </w:r>
      <w:r>
        <w:t xml:space="preserve">: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Самостоятельно организовать выполнение Работ.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При необходимости по предварительному письменному согласованию </w:t>
      </w:r>
      <w:r>
        <w:rPr>
          <w:bCs/>
          <w:highlight w:val="none"/>
        </w:rPr>
        <w:br/>
        <w:t xml:space="preserve">с Заказчиком заключать договоры субподряда в совокупности не более чем на 25</w:t>
      </w:r>
      <w:r>
        <w:rPr>
          <w:bCs/>
          <w:highlight w:val="none"/>
        </w:rPr>
        <w:t xml:space="preserve"> (д</w:t>
      </w:r>
      <w:r>
        <w:rPr>
          <w:bCs/>
          <w:highlight w:val="none"/>
        </w:rPr>
        <w:t xml:space="preserve">вадцать пять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процентов</w:t>
      </w:r>
      <w:r>
        <w:rPr>
          <w:bCs/>
          <w:highlight w:val="none"/>
          <w:vertAlign w:val="superscript"/>
        </w:rPr>
        <w:t xml:space="preserve"> </w:t>
      </w:r>
      <w:r>
        <w:rPr>
          <w:bCs/>
          <w:highlight w:val="none"/>
        </w:rPr>
        <w:t xml:space="preserve">от Цены Договора, неся при этом ответственность за действия Субподрядчиков, как за свои собственные.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0"/>
          <w:numId w:val="11"/>
        </w:numPr>
        <w:jc w:val="both"/>
        <w:shd w:val="clear" w:color="auto" w:fill="ffffff"/>
        <w:tabs>
          <w:tab w:val="left" w:pos="851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pStyle w:val="926"/>
        <w:numPr>
          <w:ilvl w:val="0"/>
          <w:numId w:val="11"/>
        </w:numPr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пр</w:t>
      </w:r>
      <w:r>
        <w:rPr>
          <w:bCs/>
        </w:rPr>
        <w:t xml:space="preserve">оект договора с Субподрядчиком;</w:t>
      </w:r>
      <w:r>
        <w:rPr>
          <w:bCs/>
        </w:rPr>
      </w:r>
      <w:r>
        <w:rPr>
          <w:bCs/>
        </w:rPr>
      </w:r>
    </w:p>
    <w:p>
      <w:pPr>
        <w:pStyle w:val="926"/>
        <w:numPr>
          <w:ilvl w:val="0"/>
          <w:numId w:val="11"/>
        </w:numPr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сведения об объемах выполнения работ Субподрядчиком;</w:t>
      </w:r>
      <w:r>
        <w:rPr>
          <w:bCs/>
        </w:rPr>
      </w:r>
      <w:r>
        <w:rPr>
          <w:bCs/>
        </w:rPr>
      </w:r>
    </w:p>
    <w:p>
      <w:pPr>
        <w:pStyle w:val="926"/>
        <w:numPr>
          <w:ilvl w:val="0"/>
          <w:numId w:val="11"/>
        </w:numPr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 перечень персонала Субподрядчика, который будет задей</w:t>
      </w:r>
      <w:r>
        <w:rPr>
          <w:bCs/>
        </w:rPr>
        <w:t xml:space="preserve">ствован при производстве Работ;</w:t>
      </w:r>
      <w:r>
        <w:rPr>
          <w:bCs/>
        </w:rPr>
      </w:r>
      <w:r>
        <w:rPr>
          <w:bCs/>
        </w:rPr>
      </w:r>
    </w:p>
    <w:p>
      <w:pPr>
        <w:pStyle w:val="926"/>
        <w:numPr>
          <w:ilvl w:val="0"/>
          <w:numId w:val="11"/>
        </w:numPr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926"/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</w:tabs>
        <w:rPr>
          <w:highlight w:val="none"/>
        </w:rPr>
      </w:pPr>
      <w:r>
        <w:rPr>
          <w:bCs/>
        </w:rPr>
        <w:t xml:space="preserve">2.5. Ст</w:t>
      </w:r>
      <w:r>
        <w:rPr>
          <w:bCs/>
        </w:rPr>
        <w:t xml:space="preserve">ороны обязуются в рамках исполнения Договора применять электронный.В рамках исполнения Договора Стороны обязуются применять электронный документооборот, руководствуясь действующим законодательством РФ, Правилами операторов систем электронного документообор</w:t>
      </w:r>
      <w:r>
        <w:rPr>
          <w:bCs/>
        </w:rPr>
        <w:t xml:space="preserve">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</w:t>
      </w:r>
      <w:r>
        <w:rPr>
          <w:bCs/>
        </w:rPr>
        <w:t xml:space="preserve">eb-решения Диадок (https://www.diadoc.ru/). В случае использования Подрядчиком другого Оператора электронного документооборота (аккредитованного ФНС РФ), Заказчик инициирует настройку роуминга между Операторами систем электронного документооборота Сторон».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ind w:left="0" w:firstLine="709"/>
        <w:jc w:val="both"/>
        <w:shd w:val="clear" w:color="auto" w:fill="ffffff"/>
        <w:tabs>
          <w:tab w:val="left" w:pos="0" w:leader="none"/>
          <w:tab w:val="clear" w:pos="708" w:leader="none"/>
        </w:tabs>
        <w:rPr>
          <w:highlight w:val="none"/>
        </w:rPr>
      </w:pPr>
      <w:r>
        <w:rPr>
          <w:bCs/>
        </w:rPr>
        <w:t xml:space="preserve">2.6. Стороны обязаны руководствоваться Постановлени</w:t>
      </w:r>
      <w:r>
        <w:rPr>
          <w:bCs/>
        </w:rPr>
        <w:t xml:space="preserve">ем Правительства РФ от 23.12.2024 №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ind w:left="0" w:firstLine="0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r/>
    </w:p>
    <w:p>
      <w:pPr>
        <w:pStyle w:val="926"/>
        <w:ind w:left="0" w:firstLine="0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r/>
    </w:p>
    <w:p>
      <w:pPr>
        <w:pStyle w:val="926"/>
        <w:ind w:left="0" w:firstLine="0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r/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Цена Договора в соответствии с Локальным сметным расчетом (Приложение №3 к Договору) является предельной и составляет ___________ (</w:t>
      </w:r>
      <w:r>
        <w:rPr>
          <w:i/>
          <w:iCs/>
        </w:rPr>
        <w:t xml:space="preserve">сумма прописью</w:t>
      </w:r>
      <w:r>
        <w:t xml:space="preserve">) рублей ____ копеек, в том числе НДС (___%) ______________ (</w:t>
      </w:r>
      <w:r>
        <w:rPr>
          <w:i/>
          <w:iCs/>
        </w:rPr>
        <w:t xml:space="preserve">сумма прописью</w:t>
      </w:r>
      <w:r>
        <w:t xml:space="preserve">) рублей ____ копеек.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Цена Договора включает в себя прибыль Подрядчика, а также все расходы и затраты Подрядчика на: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Приобретение Материально-технических ресурсов и оборудования, необходимых для выполнения Работ по Договору;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Заработную плату, накладные, расходы на перемещение и размещение персонала Подрядчика;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>
        <w:t xml:space="preserve">Подлежащие уплате налоги, сборы и пошлины; </w:t>
      </w:r>
      <w:r/>
    </w:p>
    <w:p>
      <w:pPr>
        <w:pStyle w:val="926"/>
        <w:numPr>
          <w:ilvl w:val="2"/>
          <w:numId w:val="3"/>
        </w:numPr>
        <w:ind w:left="0" w:firstLine="710"/>
        <w:jc w:val="both"/>
      </w:pPr>
      <w:r>
        <w:t xml:space="preserve">Вс</w:t>
      </w:r>
      <w:r>
        <w:t xml:space="preserve">е прочие затраты и расходы Подрядчика, связанные выполнением Работ и исполнением иных обязательств по Договору (за исключением случаев, когда законодательством Российской Федерации предусмотрено несение соответствующих расходов Заказчиком самостоятельно).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i w:val="0"/>
          <w:iCs w:val="0"/>
        </w:rPr>
        <w:t xml:space="preserve">Оплата по Договору осуществляется Заказчиком в течении </w:t>
      </w:r>
      <w:r>
        <w:rPr>
          <w:rFonts w:cs="Times New Roman"/>
          <w:i w:val="0"/>
          <w:iCs w:val="0"/>
          <w:sz w:val="24"/>
          <w:szCs w:val="24"/>
        </w:rPr>
        <w:t xml:space="preserve">7 (семи) рабочих дней</w:t>
      </w:r>
      <w:r>
        <w:rPr>
          <w:i w:val="0"/>
          <w:iCs w:val="0"/>
        </w:rPr>
        <w:t xml:space="preserve"> </w:t>
      </w:r>
      <w:r>
        <w:t xml:space="preserve">с даты подписания документов, указанных в п. 4.1. Договора, на основании счета, выставленного Подрядчиком, и с учетом п. 3.3.1. договора. Предоплата за выполненные работы не предусмотрена.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bookmarkStart w:id="9" w:name="_Ref361335023"/>
      <w:r/>
      <w:bookmarkStart w:id="10" w:name="_Ref361834178"/>
      <w:r/>
      <w:bookmarkEnd w:id="9"/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0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Расчеты по Договору осуществляются в валюте Российской Федерац</w:t>
      </w:r>
      <w: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1" w:name="_Ref361336647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/>
      <w:bookmarkStart w:id="12" w:name="_Ref361834206"/>
      <w:r>
        <w:t xml:space="preserve">Если изменения, указанные в пункте 2.2.4 Договора, приводят к существенному уве</w:t>
      </w:r>
      <w:r>
        <w:t xml:space="preserve">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</w:t>
      </w:r>
      <w:r>
        <w:t xml:space="preserve">соглашение к Договору.</w:t>
      </w:r>
      <w:bookmarkEnd w:id="11"/>
      <w:r/>
      <w:bookmarkEnd w:id="12"/>
      <w:r>
        <w:rPr>
          <w:highlight w:val="none"/>
        </w:rPr>
      </w:r>
      <w:r>
        <w:rPr>
          <w:highlight w:val="none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none"/>
        </w:rPr>
      </w:pPr>
      <w:r>
        <w:t xml:space="preserve">Заказчик вправе произвести сальдо взаимных обязатель</w:t>
      </w:r>
      <w:r>
        <w:t xml:space="preserve">ств сторон путем уменьшения сумм причитающихся Подрядчику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</w:t>
      </w:r>
      <w:r>
        <w:t xml:space="preserve">нности Подрядчика перед Заказчиком, в том числе (включая, но не ограничиваясь),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>
        <w:rPr>
          <w:highlight w:val="none"/>
        </w:rPr>
      </w:r>
      <w:r>
        <w:rPr>
          <w:highlight w:val="none"/>
        </w:rPr>
      </w:r>
    </w:p>
    <w:p>
      <w:pPr>
        <w:pStyle w:val="92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bCs/>
          <w:highlight w:val="none"/>
        </w:rPr>
      </w:pPr>
      <w: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sz w:val="28"/>
          <w:szCs w:val="28"/>
          <w14:ligatures w14:val="none"/>
        </w:rPr>
      </w:pPr>
      <w:r>
        <w:t xml:space="preserve">Сметная стоимость работ формируется ресурсно-индексным методом в текущем уровне цен по данным сплит-формы индексов и сметных цен для ценовой зоны Республики Саха (Якутия) 2 зона 1 квартал 2026 г.  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снижения заявленной стоимости путём ввода в Локальный сметный расчет «</w:t>
      </w:r>
      <w:r>
        <w:t xml:space="preserve">понижающего коэффициента», учтённый в Локальном сметном расчете договорной понижающий коэффициент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13" w:name="_Ref361335023"/>
      <w:r/>
      <w:bookmarkStart w:id="14" w:name="_Ref361834251"/>
      <w:r/>
      <w:bookmarkEnd w:id="13"/>
      <w:r>
        <w:t xml:space="preserve">Индексация Цены Договора не допускается. </w:t>
      </w:r>
      <w:bookmarkEnd w:id="14"/>
      <w:r/>
      <w:r/>
    </w:p>
    <w:p>
      <w:pPr>
        <w:pStyle w:val="926"/>
        <w:ind w:left="0" w:firstLine="567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r/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Порядок сдачи-приемки Работ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15" w:name="_Ref361336754"/>
      <w:r/>
      <w:bookmarkStart w:id="16" w:name="_Ref361335138"/>
      <w:r/>
      <w:bookmarkStart w:id="17" w:name="_Ref373242517"/>
      <w:r>
        <w:t xml:space="preserve">Ежемесячно, не позднее 5 числа мес</w:t>
      </w:r>
      <w:r>
        <w:t xml:space="preserve">яца следующего за месяцем выполнения Работ, Подрядчик представляет Заказчику подписанный со своей стороны в 2 (двух) экземплярах Акт о приемке выполненных работ КС-2 по форме Приложения № 2 и КС-3 по форме Приложения №4 к настоящему договору с приложением </w:t>
      </w:r>
      <w:bookmarkEnd w:id="15"/>
      <w:r/>
      <w:bookmarkEnd w:id="16"/>
      <w:r/>
      <w:bookmarkEnd w:id="17"/>
      <w:r>
        <w:t xml:space="preserve">Исполнительной документации.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течение 5 (пяти) рабочих дней с даты получения полного комплекта документов, указанных в пункте 4.1 Договора, Заказчик подписыва</w:t>
      </w:r>
      <w:r>
        <w:t xml:space="preserve">ет и передает Подрядчику 1 (один) экземпляр Акта о приемке выполненных работ либо направляет Подрядчику письменный мотивированный отказ от приемки Работ (далее – «Ведомость замечаний»), в котором отражает недостатки и / или несоответствия Результата Работ,</w:t>
      </w:r>
      <w:r>
        <w:rPr>
          <w:color w:val="ff0000"/>
        </w:rPr>
        <w:t xml:space="preserve"> </w:t>
      </w:r>
      <w:r>
        <w:t xml:space="preserve">а также срок на их устранение.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Устранение указанных недостатков и / или несоответствий, выявленных Заказчиком, осуществ</w:t>
      </w:r>
      <w: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Если Подрядчик не устранит недостатки, несоответствия Работ в срок, установленный Заказчиком в соответствии с пунктом 4.2 Договора, Заказчик вправе собственными силами и (или) силами третьих лиц выполнить работы по устранению недо</w:t>
      </w:r>
      <w:r>
        <w:t xml:space="preserve">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Подрядчик обязан представить Заказчику счета-фактуры, выставленные в сроки и оформленные в п</w:t>
      </w:r>
      <w:r>
        <w:t xml:space="preserve">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</w:t>
      </w:r>
      <w:r>
        <w:rPr>
          <w:color w:val="4f81bd"/>
          <w:sz w:val="22"/>
          <w:szCs w:val="22"/>
        </w:rPr>
        <w:t xml:space="preserve"> </w:t>
      </w:r>
      <w:r>
        <w:t xml:space="preserve">Кроме того, Подрядчик предоставляет Заказчику надлежащим образом заверенные копии документов, подтверждающих право уполномоченных лиц Подрядчика на подписание счет-фактур.</w:t>
      </w:r>
      <w:r/>
    </w:p>
    <w:p>
      <w:pPr>
        <w:pStyle w:val="926"/>
        <w:ind w:left="567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r/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нарушения Заказчиком сроков оплаты, установленных разделом 3 Договора, Подрядчик вправе тре</w:t>
      </w:r>
      <w:bookmarkStart w:id="18" w:name="_GoBack"/>
      <w:r/>
      <w:bookmarkEnd w:id="18"/>
      <w:r>
        <w:t xml:space="preserve">бовать уплаты Зака</w:t>
      </w:r>
      <w:r>
        <w:t xml:space="preserve">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нарушения Подрядчиком обяза</w:t>
      </w:r>
      <w:r>
        <w:t xml:space="preserve">тельств по выполнению Работ, а также в случае несвоевременного устранения выявленных недостатков результатов Работ, Заказчик вправе требовать уплаты Подрядчиком неустойки в размере 0,1 (ноль целых одна десятая) % от Цены Договора за каждый день просрочки.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нарушения Подрядчиком требований пропускного и внутриобъектового режима, требований охраны т</w:t>
      </w:r>
      <w:r>
        <w:t xml:space="preserve">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5 к Договору.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Если в результате составления и выставления Подрядчиком счетов-фактур с нарушением порядка и требований, ус</w:t>
      </w:r>
      <w: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t xml:space="preserve">менного требования Заказчика. В случае нарушения Подрядчиком сроков предоставления счетов-фактур, установленных пунктом 4.7 Договора, Заказчик вправе требовать уплаты Подрядчиком штрафа в размере 50 000 (пятидесяти тысяч) рублей за каждый случай нарушения.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Подрядчик несет ответственность перед Заказчиком за причи</w:t>
      </w:r>
      <w: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Предусмотренный пунктом 5.6 Договора ущерб Заказчика компенсируется Подрядчиком в полной сумме сверх неустойки.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нарушения Подрядчиком обязательств по выполнению работ, на срок свыше 60 (шестидесяти) календарных дней, Заказчик имеет право отказаться от Договора в одностороннем внесудебном порядке, а также потребовать возмещения убытков.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Учитывая, что для Заказчика надлежащее и своевременное выполнение Подрядчико</w:t>
      </w:r>
      <w: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/>
    </w:p>
    <w:p>
      <w:pPr>
        <w:pStyle w:val="830"/>
        <w:ind w:firstLine="0"/>
        <w:spacing w:line="240" w:lineRule="auto"/>
        <w:shd w:val="clear" w:color="auto" w:fill="ffffff"/>
        <w:tabs>
          <w:tab w:val="left" w:pos="566" w:leader="none"/>
          <w:tab w:val="clear" w:pos="708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</w:t>
      </w:r>
      <w:r>
        <w:t xml:space="preserve">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Информация может включать в себя, в том числе, но не ограничиваясь: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финансовую </w:t>
      </w:r>
      <w:r>
        <w:rPr>
          <w:lang w:val="en-US"/>
        </w:rPr>
        <w:t xml:space="preserve">(</w:t>
      </w:r>
      <w:r>
        <w:t xml:space="preserve">бухгалтерскую) отчетность;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учетные регистры бухгалтерского учета;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бизнес-планы;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:sz w:val="24"/>
          <w:szCs w:val="24"/>
        </w:rPr>
      </w:pPr>
      <w:r>
        <w:t xml:space="preserve">с</w:t>
      </w:r>
      <w:r>
        <w:rPr>
          <w:sz w:val="24"/>
          <w:szCs w:val="24"/>
        </w:rPr>
        <w:t xml:space="preserve">ведения о финансовых, правовых, организационных и других взаимоотношениях между Заказчиком и третьими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:sz w:val="24"/>
          <w:szCs w:val="24"/>
        </w:rPr>
      </w:pPr>
      <w:r>
        <w:t xml:space="preserve">материалы обобщения, анализа, оценки, иных действий по обработке вышеуказанной Информации и документо</w:t>
      </w:r>
      <w:r>
        <w:rPr>
          <w:sz w:val="24"/>
          <w:szCs w:val="24"/>
        </w:rPr>
        <w:t xml:space="preserve">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19" w:name="_Ref361337849"/>
      <w: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 (расторжения) или исполнения, в том числе:</w:t>
      </w:r>
      <w:bookmarkEnd w:id="19"/>
      <w:r>
        <w:t xml:space="preserve">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не разглашать, не обсуждать содержание, не предоставлят</w:t>
      </w:r>
      <w: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6.6.7 Договора;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использовать Информацию исключительно для целей, для которых она была предоставлена;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в случае возникновения угро</w:t>
      </w:r>
      <w: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/>
      <w:bookmarkStart w:id="20" w:name="_Ref361337832"/>
      <w:r>
        <w:t xml:space="preserve">р</w:t>
      </w:r>
      <w: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0"/>
      <w:r/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не разглашать третьим лицам факты передачи или получения Информации.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1" w:name="_Ref361337863"/>
      <w: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1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/>
    </w:p>
    <w:p>
      <w:pPr>
        <w:pStyle w:val="926"/>
        <w:ind w:left="0" w:firstLine="851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r/>
    </w:p>
    <w:p>
      <w:pPr>
        <w:pStyle w:val="926"/>
        <w:ind w:left="0" w:firstLine="851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r/>
    </w:p>
    <w:p>
      <w:pPr>
        <w:pStyle w:val="926"/>
        <w:ind w:left="0" w:firstLine="851"/>
        <w:jc w:val="both"/>
        <w:shd w:val="clear" w:color="auto" w:fill="ffffff"/>
        <w:tabs>
          <w:tab w:val="clear" w:pos="708" w:leader="none"/>
          <w:tab w:val="left" w:pos="1418" w:leader="none"/>
        </w:tabs>
      </w:pPr>
      <w:r/>
      <w:r/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</w:t>
      </w:r>
      <w:r>
        <w:t xml:space="preserve">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Ст</w:t>
      </w:r>
      <w:r>
        <w:t xml:space="preserve">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t xml:space="preserve">мить другую Сторону о таких предположениях. В уведомлении Сторона обязана сослаться на факты или предоставить соответствующие мaтepиaлы,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  Стороны в целом, так и для конкретных работников уведомившей Стороны, сообщивших о факте нарушении.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bCs/>
        </w:rPr>
        <w:t xml:space="preserve">Каналы связи Линия доверия Группы РусГидро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Электронная почта: </w:t>
      </w:r>
      <w:hyperlink r:id="rId11" w:tooltip="mailto:ld@rushydro.ru" w:history="1">
        <w:r>
          <w:t xml:space="preserve">ld@rushydro.ru</w:t>
        </w:r>
      </w:hyperlink>
      <w:r>
        <w:t xml:space="preserve">;                                                                                                            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Специальная форма «обратной связи», размещения на официальном сайте в сети интернет: </w:t>
      </w:r>
      <w:hyperlink r:id="rId12" w:tooltip="http://www.rushydro.ru/" w:history="1">
        <w:r>
          <w:t xml:space="preserve">http://www.rushydro.ru/</w:t>
        </w:r>
      </w:hyperlink>
      <w:r>
        <w:t xml:space="preserve"> (далее перейти по ссылке «Линия доверия» и заполнить поля специальной формы «обратной связи»);                                                                                 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Телефонный автоответчик (необходимо позвонить по телефону +7(495)785-09-37 (круглосуточно), дождаться сигнала о начале записи и оставить устное общение).</w:t>
      </w:r>
      <w:r/>
    </w:p>
    <w:p>
      <w:pPr>
        <w:pStyle w:val="830"/>
        <w:ind w:firstLine="0"/>
        <w:spacing w:line="240" w:lineRule="auto"/>
        <w:tabs>
          <w:tab w:val="clear" w:pos="708" w:leader="none"/>
          <w:tab w:val="left" w:pos="709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</w:t>
      </w:r>
      <w:r>
        <w:t xml:space="preserve">ств, которые возникли после заключения Договора, и которые Стороны не могли ни предвидеть, ни предотвратить разумными мерами и не зависели от воли Сторон и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Надлежащим (достаточным) доказательством наличия/возникновения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Отсутствие уведомления или </w:t>
      </w:r>
      <w: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/>
    </w:p>
    <w:p>
      <w:pPr>
        <w:pStyle w:val="926"/>
        <w:ind w:left="0" w:firstLine="709"/>
        <w:jc w:val="both"/>
        <w:shd w:val="clear" w:color="auto" w:fill="ffffff"/>
        <w:tabs>
          <w:tab w:val="left" w:pos="568" w:leader="none"/>
          <w:tab w:val="clear" w:pos="708" w:leader="none"/>
        </w:tabs>
      </w:pPr>
      <w:r>
        <w:t xml:space="preserve">При этом любая из Сторон вправе отказаться от исполнения Договора в одностороннем внесудебном порядке.</w:t>
      </w:r>
      <w:r/>
    </w:p>
    <w:p>
      <w:pPr>
        <w:pStyle w:val="830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2" w:name="_Ref361337900"/>
      <w:r>
        <w:t xml:space="preserve"> </w:t>
      </w:r>
      <w:r>
        <w:t xml:space="preserve">Подрядчик 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имеющие признаки недобросовестности, опред</w:t>
      </w:r>
      <w: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3" w:tooltip="consultantplus://offline/ref=94D5CE8889791A29DE57299515463A9D6134D8237B999C803E6F853513x2A2P" w:history="1">
        <w:r>
          <w:t xml:space="preserve">№ 18162/09</w:t>
        </w:r>
      </w:hyperlink>
      <w:r>
        <w:t xml:space="preserve"> и от 25.05.2010 </w:t>
      </w:r>
      <w:hyperlink r:id="rId14" w:tooltip="consultantplus://offline/ref=94D5CE8889791A29DE57299515463A9D6135D2287D929C803E6F853513x2A2P" w:history="1">
        <w:r>
          <w:t xml:space="preserve">№ 15658/09</w:t>
        </w:r>
      </w:hyperlink>
      <w:r>
        <w:t xml:space="preserve">, согласно которым при оценке необоснованной налоговой выг</w:t>
      </w:r>
      <w: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соответствующие </w:t>
      </w:r>
      <w:hyperlink r:id="rId15" w:tooltip="consultantplus://offline/ref=79440D5123ABA6A25F43346AB59DBAAC7032C8E1556DA64FAED62E167F76889C2B7C475C32EFC59BJ8rDH" w:history="1">
        <w:r>
          <w:t xml:space="preserve">Критери</w:t>
        </w:r>
      </w:hyperlink>
      <w: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2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3" w:name="_Ref361337948"/>
      <w:r>
        <w:t xml:space="preserve"> </w:t>
      </w:r>
      <w:r>
        <w:t xml:space="preserve">В случае нарушения Подрядчиком обязательств, установленных пунктами 9.1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3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4" w:name="_Ref361337980"/>
      <w:r>
        <w:t xml:space="preserve"> </w:t>
      </w:r>
      <w:r>
        <w:t xml:space="preserve">Подрядчик обязан уплатить З</w:t>
      </w:r>
      <w:r>
        <w:t xml:space="preserve">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 9.1 Договора.</w:t>
      </w:r>
      <w:bookmarkEnd w:id="24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5" w:name="_Ref373243071"/>
      <w:r>
        <w:t xml:space="preserve"> </w:t>
      </w:r>
      <w:r>
        <w:t xml:space="preserve">Штраф, предусмотренный пунктом 9.3 Договора, оплачивается Подрядчиком в течение 10 (десяти) рабочих </w:t>
      </w:r>
      <w:r>
        <w:t xml:space="preserve">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9.2 Договора.</w:t>
      </w:r>
      <w:bookmarkEnd w:id="25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6" w:name="_Ref361337992"/>
      <w:r>
        <w:t xml:space="preserve"> </w:t>
      </w:r>
      <w:r>
        <w:t xml:space="preserve">Заказчик вправе приостановить осуществление любых платежей по Договору, причитающ</w:t>
      </w:r>
      <w:r>
        <w:t xml:space="preserve">ихся Подрядчику, независимо от наличия оснований и наступления сроков таких платежей, до уплаты Подрядчиком штрафа, предусмотренного пунктом 9.3. Договора. При этом Заказчик не будет считаться просрочившим и / или нарушившим свои обязательства по Договору.</w:t>
      </w:r>
      <w:bookmarkEnd w:id="26"/>
      <w:r/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 </w:t>
      </w:r>
      <w:r>
        <w:t xml:space="preserve">Независимо от других положений Договора, положения пунктов 9.3, 9.4 Договора продолжают действовать в течение 4 (четырех) лет после его прекращения (расторжения) или исполнения.</w:t>
      </w:r>
      <w:r/>
    </w:p>
    <w:p>
      <w:pPr>
        <w:pStyle w:val="92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r/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Заверения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Каждая из Сторон заявляет и подтверждает другой Стороне, что: 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лица, подписывающие от имени Сторон Договор, надлежащим образом уполномочены на его подписание;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руководителем Подрядчика является лицо, не являющееся массовым руководителем;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Подрядчик тщательно изучил всю информацию, связанную с Догово</w:t>
      </w:r>
      <w:r>
        <w:t xml:space="preserve">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 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условиях;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t xml:space="preserve">Подрядчик согласен на многократное применение разработанной им Проектной документации в качестве типовой проектной документации (проектной документации повторного использования).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 </w:t>
      </w:r>
      <w:r>
        <w:t xml:space="preserve">В случае, если Подрядчик при заключении Договора предоставил Заказчику недостоверные заверения о любом из указанных в наст</w:t>
      </w:r>
      <w:r>
        <w:t xml:space="preserve">оящем разделе обстоятельств, имеющих существенное значение для заключения и исполнения Договора, Подрядчик 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 </w:t>
      </w: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92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Прекращение (расторжение)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13.6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92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926"/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14:ligatures w14:val="none"/>
        </w:rPr>
      </w:pPr>
      <w:r>
        <w:t xml:space="preserve">нарушение Подрядчиком начального и конечного сроков выполнения Работ по Договору, более чем на 60 (шестьдесят) календарных дней по причинам, не зависящим от Заказчика;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:highlight w:val="none"/>
          <w14:ligatures w14:val="none"/>
        </w:rPr>
      </w:pPr>
      <w:r>
        <w:t xml:space="preserve">нес</w:t>
      </w:r>
      <w:r>
        <w:t xml:space="preserve">облюдение Подрядчиком требований к качеству Работ, если исправление выявленных Заказчиком недостатков, несоответствий Работ влечет нарушение сроков выполнения Работ более чем на 60 (шестьдесят) календарных дней либо такие недостатки являются неустранимы</w:t>
      </w:r>
      <w:r>
        <w:rPr>
          <w:highlight w:val="none"/>
        </w:rPr>
        <w:t xml:space="preserve">ми;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  <w:rPr>
          <w:highlight w:val="none"/>
          <w14:ligatures w14:val="none"/>
        </w:rPr>
      </w:pPr>
      <w:r>
        <w:rPr>
          <w:highlight w:val="none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shd w:val="clear" w:color="ffffff" w:themeColor="background1" w:fill="ffffff" w:themeFill="background1"/>
        <w:tabs>
          <w:tab w:val="clear" w:pos="708" w:leader="none"/>
          <w:tab w:val="left" w:pos="850" w:leader="none"/>
        </w:tabs>
        <w:rPr>
          <w:highlight w:val="none"/>
          <w14:ligatures w14:val="none"/>
        </w:rPr>
      </w:pPr>
      <w:r>
        <w:rPr>
          <w:highlight w:val="none"/>
        </w:rPr>
        <w:t xml:space="preserve">п</w:t>
      </w:r>
      <w:r>
        <w:rPr>
          <w:highlight w:val="none"/>
        </w:rPr>
        <w:t xml:space="preserve">ривлечение </w:t>
      </w:r>
      <w:r>
        <w:rPr>
          <w:highlight w:val="none"/>
        </w:rPr>
        <w:t xml:space="preserve">к в</w:t>
      </w:r>
      <w:r>
        <w:rPr>
          <w:highlight w:val="none"/>
        </w:rPr>
        <w:t xml:space="preserve">ыполнению Работ по Договору третьих лиц (Субподрядчиков) с нарушением требований, установленных пунктом 2.4.1 Договора 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26"/>
        <w:numPr>
          <w:ilvl w:val="0"/>
          <w:numId w:val="6"/>
        </w:numPr>
        <w:ind w:left="0" w:right="23" w:firstLine="567"/>
        <w:jc w:val="both"/>
        <w:tabs>
          <w:tab w:val="clear" w:pos="708" w:leader="none"/>
          <w:tab w:val="left" w:pos="850" w:leader="none"/>
        </w:tabs>
      </w:pPr>
      <w:r>
        <w:rPr>
          <w:highlight w:val="none"/>
        </w:rPr>
        <w:t xml:space="preserve">установление в ходе исполнения Договора фактов несоответствия Подрядчика установленным документац</w:t>
      </w:r>
      <w:r>
        <w:t xml:space="preserve">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10 Договора, и имеющих существенное значение для его заключения и исполнения.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</w:t>
      </w:r>
      <w:r>
        <w:t xml:space="preserve">отказа Заказчика от Договора в случаях, предусмотренных пунктами 11.2, 11.3, 11.4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Работ, и в согласованные Сторонами сроки передать Заказчику Результат работ, техническую и иную полученную документацию.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</w:t>
      </w:r>
      <w:r>
        <w:t xml:space="preserve">зделе, все обязательства Сторон по Договору считаются прекратившимися, за исключением обязательств по незавершенным расчетам,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926"/>
        <w:ind w:left="709" w:firstLine="0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r/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</w:pPr>
      <w:r>
        <w:rPr>
          <w:b/>
          <w:bCs/>
        </w:rPr>
        <w:t xml:space="preserve">Разрешение споров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Все споры, разногласия и требования, возникающие между Сторонами из Договора или в связи с ним, в том числе, связанные с его исполнением, изменением, прекращением (расторжением) и / или действительностью, разрешаются путем переговоров.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Споры, указанные в пункте 12.1 Договора,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Сторонами применяется обязательный </w:t>
      </w:r>
      <w: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13.7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Условия настоящего раздела сохраняют свою силу в случае признания Договора незаключенным и / или недействительным.</w:t>
      </w:r>
      <w:r/>
    </w:p>
    <w:p>
      <w:pPr>
        <w:pStyle w:val="926"/>
        <w:ind w:left="0" w:firstLine="567"/>
        <w:jc w:val="both"/>
        <w:shd w:val="clear" w:color="auto" w:fill="ffffff"/>
        <w:tabs>
          <w:tab w:val="clear" w:pos="708" w:leader="none"/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 </w:t>
      </w:r>
      <w:r>
        <w:t xml:space="preserve">Договор вступает в силу с даты подписания обеими сторонами и действует по «___»______202__г., а в части неисполненных обязательств – до полного исполнения Сторонами.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7" w:name="_Ref361338004"/>
      <w:r>
        <w:t xml:space="preserve">Стороны обязуются уведомлять друг друга об изменении наименования, адреса и/или реквизитов, указанных в разделе 15 Договора, не позднее 3 (трех) рабочих дней после такого изменения.</w:t>
      </w:r>
      <w:bookmarkEnd w:id="27"/>
      <w:r>
        <w:t xml:space="preserve">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/>
      <w:bookmarkStart w:id="28" w:name="_Ref361338019"/>
      <w:r>
        <w:t xml:space="preserve">Письма, уведомлен</w:t>
      </w:r>
      <w:r>
        <w:t xml:space="preserve">ия и / или сообщения направляются Стороне-получателю по адресу ее места нахождения, указанному в разделе 15 Договора, или в ранее полученном уведомлении Стороны об изменении адреса, одним из следующих способов, при этом документ будет считаться полученным:</w:t>
      </w:r>
      <w:bookmarkEnd w:id="28"/>
      <w:r/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/>
      <w:bookmarkStart w:id="30" w:name="_Ref361338032"/>
      <w:r>
        <w:t xml:space="preserve">заказным почтовым отп</w:t>
      </w:r>
      <w: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0"/>
      <w:r/>
      <w:r/>
    </w:p>
    <w:p>
      <w:pPr>
        <w:pStyle w:val="926"/>
        <w:numPr>
          <w:ilvl w:val="2"/>
          <w:numId w:val="3"/>
        </w:numPr>
        <w:ind w:left="0" w:firstLine="709"/>
        <w:jc w:val="both"/>
        <w:shd w:val="clear" w:color="auto" w:fill="ffffff"/>
      </w:pPr>
      <w:r>
        <w:t xml:space="preserve">электронным сообщением на электронную почту. В случае, если передача электронного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  <w:r/>
    </w:p>
    <w:p>
      <w:pPr>
        <w:pStyle w:val="926"/>
        <w:ind w:left="0" w:firstLine="709"/>
        <w:jc w:val="both"/>
        <w:shd w:val="clear" w:color="auto" w:fill="ffffff"/>
        <w:tabs>
          <w:tab w:val="clear" w:pos="708" w:leader="none"/>
          <w:tab w:val="left" w:pos="1701" w:leader="none"/>
        </w:tabs>
      </w:pPr>
      <w:r>
        <w:rPr>
          <w:bCs/>
        </w:rPr>
        <w:t xml:space="preserve">Оригиналы документов, направленных с использованием электронной почты, должны не позднее следующего рабочего дня быть направлены Стороной-отправителем способами, указанными в пунктах 13.6.1; 13.6.2 Договора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Во избежание сомнений, кроме случаев, ког</w:t>
      </w:r>
      <w: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rFonts w:cs="Times New Roman"/>
          <w:sz w:val="24"/>
          <w:szCs w:val="24"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t xml:space="preserve">. 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/>
    </w:p>
    <w:p>
      <w:pPr>
        <w:pStyle w:val="926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clear" w:pos="708" w:leader="none"/>
          <w:tab w:val="left" w:pos="1134" w:leader="none"/>
        </w:tabs>
      </w:pPr>
      <w:r>
        <w:rPr>
          <w:highlight w:val="whit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0"/>
        <w:jc w:val="both"/>
        <w:shd w:val="clear" w:color="auto" w:fill="ffffff"/>
        <w:tabs>
          <w:tab w:val="clear" w:pos="708" w:leader="none"/>
          <w:tab w:val="left" w:pos="1134" w:leader="none"/>
        </w:tabs>
        <w:rPr>
          <w:highlight w:val="white"/>
        </w:rPr>
      </w:pPr>
      <w:r>
        <w:rPr>
          <w:highlight w:val="non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926"/>
        <w:ind w:left="0" w:firstLine="0"/>
        <w:jc w:val="both"/>
        <w:shd w:val="clear" w:color="auto" w:fill="ffffff"/>
      </w:pPr>
      <w:r>
        <w:t xml:space="preserve">Приложение № 1 – Техническое задание;</w:t>
      </w:r>
      <w:r/>
    </w:p>
    <w:p>
      <w:pPr>
        <w:pStyle w:val="926"/>
        <w:ind w:left="0" w:firstLine="0"/>
        <w:jc w:val="both"/>
        <w:shd w:val="clear" w:color="auto" w:fill="ffffff"/>
      </w:pPr>
      <w:r>
        <w:t xml:space="preserve">Приложение № 2 – Форма акта выполненных работ КС-2;</w:t>
      </w:r>
      <w:r/>
    </w:p>
    <w:p>
      <w:pPr>
        <w:pStyle w:val="926"/>
        <w:ind w:left="0" w:firstLine="0"/>
        <w:jc w:val="both"/>
        <w:shd w:val="clear" w:color="auto" w:fill="ffffff"/>
      </w:pPr>
      <w:r>
        <w:t xml:space="preserve">Приложение № 3 – Локальный сметный расчет;</w:t>
      </w:r>
      <w:r/>
    </w:p>
    <w:p>
      <w:pPr>
        <w:pStyle w:val="926"/>
        <w:ind w:left="0" w:firstLine="0"/>
        <w:jc w:val="both"/>
        <w:shd w:val="clear" w:color="auto" w:fill="ffffff"/>
      </w:pPr>
      <w:r>
        <w:t xml:space="preserve">Приложение № 4 – Форма справки о стоимости выполненных работ КС-3</w:t>
      </w:r>
      <w:r/>
    </w:p>
    <w:p>
      <w:pPr>
        <w:pStyle w:val="926"/>
        <w:ind w:left="0" w:firstLine="0"/>
        <w:jc w:val="both"/>
        <w:shd w:val="clear" w:color="auto" w:fill="ffffff"/>
        <w:tabs>
          <w:tab w:val="clear" w:pos="708" w:leader="none"/>
          <w:tab w:val="left" w:pos="2127" w:leader="none"/>
        </w:tabs>
      </w:pPr>
      <w:r>
        <w:t xml:space="preserve">Приложение № 5 –</w:t>
        <w:tab/>
        <w:t xml:space="preserve">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/>
    </w:p>
    <w:p>
      <w:pPr>
        <w:pStyle w:val="926"/>
        <w:ind w:left="0" w:firstLine="0"/>
        <w:jc w:val="both"/>
        <w:shd w:val="clear" w:color="auto" w:fill="ffffff"/>
      </w:pPr>
      <w:r>
        <w:t xml:space="preserve">Приложение № 6 – Форма предоставления информации о собственниках компании;</w:t>
      </w:r>
      <w:r/>
    </w:p>
    <w:p>
      <w:pPr>
        <w:pStyle w:val="926"/>
        <w:ind w:left="0" w:firstLine="0"/>
        <w:jc w:val="both"/>
        <w:shd w:val="clear" w:color="auto" w:fill="ffffff"/>
      </w:pPr>
      <w:r>
        <w:t xml:space="preserve">                                         </w:t>
      </w:r>
      <w:r/>
    </w:p>
    <w:p>
      <w:pPr>
        <w:pStyle w:val="926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clear" w:pos="708" w:leader="none"/>
        </w:tabs>
        <w:rPr>
          <w:b/>
          <w:bCs/>
        </w:rPr>
      </w:pP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928"/>
        <w:gridCol w:w="16"/>
        <w:gridCol w:w="4945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830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961" w:type="dxa"/>
            <w:textDirection w:val="lrTb"/>
            <w:noWrap w:val="false"/>
          </w:tcPr>
          <w:p>
            <w:pPr>
              <w:pStyle w:val="830"/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015"/>
        </w:trPr>
        <w:tc>
          <w:tcPr>
            <w:shd w:val="clear" w:color="auto" w:fill="ffffff" w:themeFill="background1"/>
            <w:tcW w:w="4928" w:type="dxa"/>
            <w:textDirection w:val="lrTb"/>
            <w:noWrap w:val="false"/>
          </w:tcPr>
          <w:p>
            <w:pPr>
              <w:pStyle w:val="830"/>
              <w:ind w:firstLine="0"/>
              <w:jc w:val="left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«ДГК»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Место нахождения: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Хабаровский край, г. Хабаровск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Адрес: 680000, Хабаровский край,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г. Хабаровск, ул. Фрунзе, д. 49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Адрес для корреспонденции: АО «ДГК»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структурное подразделение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«Нерюнгринская ГРЭС»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678995, Россия, РС (Я)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г. Нерюнгри, пгт. Серебряный Бор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ОГРН 1051401746769,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ИНН 1434031363 / КПП 997650001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р/с 4070 2810 2700 0000 8818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Дальневосточный Банк ПАО Сбербанк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г. Хабаровск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к/с 3010 1810 6000 0000 0608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БИК 040 813 608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830"/>
              <w:ind w:firstLine="0"/>
              <w:spacing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postmaster-ngres@dgk.ru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4961" w:type="dxa"/>
            <w:textDirection w:val="lrTb"/>
            <w:noWrap w:val="false"/>
          </w:tcPr>
          <w:p>
            <w:pPr>
              <w:pStyle w:val="830"/>
              <w:widowControl w:val="off"/>
            </w:pPr>
            <w:r/>
            <w:r/>
          </w:p>
        </w:tc>
      </w:tr>
      <w:tr>
        <w:tblPrEx/>
        <w:trPr/>
        <w:tc>
          <w:tcPr>
            <w:gridSpan w:val="2"/>
            <w:tcW w:w="4944" w:type="dxa"/>
            <w:textDirection w:val="lrTb"/>
            <w:noWrap w:val="false"/>
          </w:tcPr>
          <w:p>
            <w:pPr>
              <w:pStyle w:val="830"/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/ 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0"/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«_____»___________2026г.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0"/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45" w:type="dxa"/>
            <w:textDirection w:val="lrTb"/>
            <w:noWrap w:val="false"/>
          </w:tcPr>
          <w:p>
            <w:pPr>
              <w:pStyle w:val="830"/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0"/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«_____»___________2026г.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0"/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0"/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0"/>
        <w:ind w:firstLine="567"/>
        <w:jc w:val="right"/>
        <w:tabs>
          <w:tab w:val="clear" w:pos="708" w:leader="none"/>
          <w:tab w:val="left" w:pos="828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308" w:right="709" w:bottom="993" w:left="1134" w:header="142" w:footer="36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Verdana">
    <w:panose1 w:val="020B0604030504040204"/>
  </w:font>
  <w:font w:name="Noto Sans CJK SC">
    <w:panose1 w:val="020B0502040504020204"/>
  </w:font>
  <w:font w:name="Tahoma">
    <w:panose1 w:val="020B0604030504040204"/>
  </w:font>
  <w:font w:name="Cambria">
    <w:panose1 w:val="02040803050406030204"/>
  </w:font>
  <w:font w:name="Wingdings">
    <w:panose1 w:val="05010000000000000000"/>
  </w:font>
  <w:font w:name="Liberation Sans">
    <w:panose1 w:val="020B0604020202020204"/>
  </w:font>
  <w:font w:name="Noto Serif CJK SC">
    <w:panose1 w:val="020B050204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16</w:t>
    </w:r>
    <w:r>
      <w:rPr>
        <w:sz w:val="24"/>
        <w:szCs w:val="24"/>
      </w:rPr>
      <w:fldChar w:fldCharType="end"/>
    </w:r>
    <w:r/>
  </w:p>
  <w:p>
    <w:pPr>
      <w:pStyle w:val="93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2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pStyle w:val="928"/>
      <w:isLgl w:val="false"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b w:val="0"/>
        <w:bCs w:val="0"/>
        <w:sz w:val="24"/>
        <w:szCs w:val="24"/>
      </w:rPr>
    </w:lvl>
    <w:lvl w:ilvl="2">
      <w:start w:val="1"/>
      <w:numFmt w:val="decimal"/>
      <w:pStyle w:val="929"/>
      <w:isLgl w:val="false"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b w:val="0"/>
        <w:b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1185"/>
        <w:tabs>
          <w:tab w:val="num" w:pos="2625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</w:lvl>
  </w:abstractNum>
  <w:abstractNum w:abstractNumId="1">
    <w:multiLevelType w:val="hybridMultilevel"/>
    <w:lvl w:ilvl="0">
      <w:start w:val="1"/>
      <w:numFmt w:val="bullet"/>
      <w:pStyle w:val="93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  <w:tabs>
          <w:tab w:val="num" w:pos="0" w:leader="none"/>
        </w:tabs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  <w:tabs>
          <w:tab w:val="num" w:pos="0" w:leader="none"/>
        </w:tabs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4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</w:lvl>
    <w:lvl w:ilvl="1">
      <w:start w:val="1"/>
      <w:numFmt w:val="decimal"/>
      <w:pStyle w:val="94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</w:lvl>
    <w:lvl w:ilvl="2">
      <w:start w:val="1"/>
      <w:numFmt w:val="decimal"/>
      <w:pStyle w:val="94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</w:lvl>
    <w:lvl w:ilvl="3">
      <w:start w:val="1"/>
      <w:numFmt w:val="lowerLetter"/>
      <w:pStyle w:val="94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0" w:default="1">
    <w:name w:val="Normal"/>
    <w:qFormat/>
    <w:pPr>
      <w:ind w:firstLine="567"/>
      <w:jc w:val="both"/>
      <w:spacing w:before="0" w:after="0" w:line="360" w:lineRule="auto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831">
    <w:name w:val="Heading 1"/>
    <w:basedOn w:val="830"/>
    <w:uiPriority w:val="9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832">
    <w:name w:val="Heading 2"/>
    <w:basedOn w:val="830"/>
    <w:uiPriority w:val="99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833">
    <w:name w:val="Heading 3"/>
    <w:basedOn w:val="830"/>
    <w:uiPriority w:val="99"/>
    <w:qFormat/>
    <w:pPr>
      <w:ind w:firstLine="0"/>
      <w:jc w:val="left"/>
      <w:keepNext/>
      <w:spacing w:before="120" w:after="120" w:line="240" w:lineRule="auto"/>
      <w:outlineLvl w:val="2"/>
    </w:pPr>
    <w:rPr>
      <w:b/>
      <w:bCs/>
    </w:rPr>
  </w:style>
  <w:style w:type="paragraph" w:styleId="834">
    <w:name w:val="Heading 4"/>
    <w:basedOn w:val="8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5">
    <w:name w:val="Heading 5"/>
    <w:basedOn w:val="83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6">
    <w:name w:val="Heading 6"/>
    <w:basedOn w:val="8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7">
    <w:name w:val="Heading 7"/>
    <w:basedOn w:val="8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8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39">
    <w:name w:val="Heading 9"/>
    <w:basedOn w:val="8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0">
    <w:name w:val="Heading 1 Char"/>
    <w:basedOn w:val="858"/>
    <w:uiPriority w:val="9"/>
    <w:qFormat/>
    <w:rPr>
      <w:rFonts w:ascii="Arial" w:hAnsi="Arial" w:eastAsia="Arial" w:cs="Arial"/>
      <w:sz w:val="40"/>
      <w:szCs w:val="40"/>
    </w:rPr>
  </w:style>
  <w:style w:type="character" w:styleId="841">
    <w:name w:val="Heading 2 Char"/>
    <w:basedOn w:val="858"/>
    <w:uiPriority w:val="9"/>
    <w:qFormat/>
    <w:rPr>
      <w:rFonts w:ascii="Arial" w:hAnsi="Arial" w:eastAsia="Arial" w:cs="Arial"/>
      <w:sz w:val="34"/>
    </w:rPr>
  </w:style>
  <w:style w:type="character" w:styleId="842">
    <w:name w:val="Heading 3 Char"/>
    <w:basedOn w:val="858"/>
    <w:uiPriority w:val="9"/>
    <w:qFormat/>
    <w:rPr>
      <w:rFonts w:ascii="Arial" w:hAnsi="Arial" w:eastAsia="Arial" w:cs="Arial"/>
      <w:sz w:val="30"/>
      <w:szCs w:val="30"/>
    </w:rPr>
  </w:style>
  <w:style w:type="character" w:styleId="843">
    <w:name w:val="Heading 4 Char"/>
    <w:basedOn w:val="85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44">
    <w:name w:val="Heading 5 Char"/>
    <w:basedOn w:val="85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45">
    <w:name w:val="Heading 6 Char"/>
    <w:basedOn w:val="85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46">
    <w:name w:val="Heading 7 Char"/>
    <w:basedOn w:val="85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47">
    <w:name w:val="Heading 8 Char"/>
    <w:basedOn w:val="85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48">
    <w:name w:val="Heading 9 Char"/>
    <w:basedOn w:val="85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49">
    <w:name w:val="Title Char"/>
    <w:basedOn w:val="858"/>
    <w:uiPriority w:val="10"/>
    <w:qFormat/>
    <w:rPr>
      <w:sz w:val="48"/>
      <w:szCs w:val="48"/>
    </w:rPr>
  </w:style>
  <w:style w:type="character" w:styleId="850">
    <w:name w:val="Subtitle Char"/>
    <w:basedOn w:val="858"/>
    <w:uiPriority w:val="11"/>
    <w:qFormat/>
    <w:rPr>
      <w:sz w:val="24"/>
      <w:szCs w:val="24"/>
    </w:rPr>
  </w:style>
  <w:style w:type="character" w:styleId="851">
    <w:name w:val="Quote Char"/>
    <w:uiPriority w:val="29"/>
    <w:qFormat/>
    <w:rPr>
      <w:i/>
    </w:rPr>
  </w:style>
  <w:style w:type="character" w:styleId="852">
    <w:name w:val="Intense Quote Char"/>
    <w:uiPriority w:val="30"/>
    <w:qFormat/>
    <w:rPr>
      <w:i/>
    </w:rPr>
  </w:style>
  <w:style w:type="character" w:styleId="853">
    <w:name w:val="Header Char"/>
    <w:basedOn w:val="858"/>
    <w:uiPriority w:val="99"/>
    <w:qFormat/>
  </w:style>
  <w:style w:type="character" w:styleId="854">
    <w:name w:val="Footer Char"/>
    <w:basedOn w:val="858"/>
    <w:uiPriority w:val="99"/>
    <w:qFormat/>
  </w:style>
  <w:style w:type="character" w:styleId="855">
    <w:name w:val="Caption Char"/>
    <w:uiPriority w:val="99"/>
    <w:qFormat/>
  </w:style>
  <w:style w:type="character" w:styleId="856">
    <w:name w:val="Footnote Text Char"/>
    <w:uiPriority w:val="99"/>
    <w:qFormat/>
    <w:rPr>
      <w:sz w:val="18"/>
    </w:rPr>
  </w:style>
  <w:style w:type="character" w:styleId="857">
    <w:name w:val="Endnote Text Char"/>
    <w:uiPriority w:val="99"/>
    <w:qFormat/>
    <w:rPr>
      <w:sz w:val="20"/>
    </w:rPr>
  </w:style>
  <w:style w:type="character" w:styleId="858" w:default="1">
    <w:name w:val="Default Paragraph Font"/>
    <w:uiPriority w:val="1"/>
    <w:semiHidden/>
    <w:unhideWhenUsed/>
    <w:qFormat/>
  </w:style>
  <w:style w:type="character" w:styleId="859" w:customStyle="1">
    <w:name w:val="Заголовок 1 Знак"/>
    <w:basedOn w:val="858"/>
    <w:uiPriority w:val="99"/>
    <w:qFormat/>
    <w:rPr>
      <w:rFonts w:ascii="Cambria" w:hAnsi="Cambria" w:cs="Cambria"/>
      <w:b/>
      <w:bCs/>
      <w:sz w:val="32"/>
      <w:szCs w:val="32"/>
    </w:rPr>
  </w:style>
  <w:style w:type="character" w:styleId="860" w:customStyle="1">
    <w:name w:val="Заголовок 2 Знак"/>
    <w:basedOn w:val="858"/>
    <w:uiPriority w:val="99"/>
    <w:semiHidden/>
    <w:qFormat/>
    <w:rPr>
      <w:rFonts w:ascii="Cambria" w:hAnsi="Cambria" w:cs="Cambria"/>
      <w:b/>
      <w:bCs/>
      <w:i/>
      <w:iCs/>
      <w:sz w:val="28"/>
      <w:szCs w:val="28"/>
    </w:rPr>
  </w:style>
  <w:style w:type="character" w:styleId="861" w:customStyle="1">
    <w:name w:val="Заголовок 3 Знак"/>
    <w:basedOn w:val="858"/>
    <w:uiPriority w:val="99"/>
    <w:qFormat/>
    <w:rPr>
      <w:b/>
      <w:bCs/>
      <w:sz w:val="28"/>
      <w:szCs w:val="28"/>
    </w:rPr>
  </w:style>
  <w:style w:type="character" w:styleId="862" w:customStyle="1">
    <w:name w:val="Основной текст 3 Знак"/>
    <w:basedOn w:val="858"/>
    <w:qFormat/>
    <w:rPr>
      <w:color w:val="0000ff"/>
      <w:sz w:val="24"/>
      <w:szCs w:val="24"/>
      <w:lang w:eastAsia="en-US"/>
    </w:rPr>
  </w:style>
  <w:style w:type="character" w:styleId="863" w:customStyle="1">
    <w:name w:val="Верхний колонтитул Знак"/>
    <w:basedOn w:val="858"/>
    <w:uiPriority w:val="99"/>
    <w:semiHidden/>
    <w:qFormat/>
    <w:rPr>
      <w:sz w:val="28"/>
      <w:szCs w:val="28"/>
    </w:rPr>
  </w:style>
  <w:style w:type="character" w:styleId="864" w:customStyle="1">
    <w:name w:val="Основной текст Знак"/>
    <w:basedOn w:val="858"/>
    <w:uiPriority w:val="99"/>
    <w:semiHidden/>
    <w:qFormat/>
    <w:rPr>
      <w:sz w:val="28"/>
      <w:szCs w:val="28"/>
    </w:rPr>
  </w:style>
  <w:style w:type="character" w:styleId="865" w:customStyle="1">
    <w:name w:val="Основной текст 2 Знак"/>
    <w:basedOn w:val="858"/>
    <w:uiPriority w:val="99"/>
    <w:semiHidden/>
    <w:qFormat/>
    <w:rPr>
      <w:sz w:val="28"/>
      <w:szCs w:val="28"/>
    </w:rPr>
  </w:style>
  <w:style w:type="character" w:styleId="866" w:customStyle="1">
    <w:name w:val="Текст сноски Знак"/>
    <w:basedOn w:val="858"/>
    <w:uiPriority w:val="99"/>
    <w:qFormat/>
  </w:style>
  <w:style w:type="character" w:styleId="867">
    <w:name w:val="Символ сноски"/>
    <w:basedOn w:val="858"/>
    <w:uiPriority w:val="99"/>
    <w:qFormat/>
    <w:rPr>
      <w:vertAlign w:val="superscript"/>
    </w:rPr>
  </w:style>
  <w:style w:type="character" w:styleId="868">
    <w:name w:val="footnote reference"/>
    <w:rPr>
      <w:vertAlign w:val="superscript"/>
    </w:rPr>
  </w:style>
  <w:style w:type="character" w:styleId="869" w:customStyle="1">
    <w:name w:val="Основной текст с отступом 3 Знак"/>
    <w:basedOn w:val="858"/>
    <w:uiPriority w:val="99"/>
    <w:semiHidden/>
    <w:qFormat/>
    <w:rPr>
      <w:sz w:val="16"/>
      <w:szCs w:val="16"/>
    </w:rPr>
  </w:style>
  <w:style w:type="character" w:styleId="870" w:customStyle="1">
    <w:name w:val="3. Подпункт Знак"/>
    <w:uiPriority w:val="99"/>
    <w:qFormat/>
    <w:rPr>
      <w:b/>
      <w:bCs/>
      <w:sz w:val="24"/>
      <w:szCs w:val="24"/>
      <w:lang w:val="ru-RU" w:eastAsia="ru-RU"/>
    </w:rPr>
  </w:style>
  <w:style w:type="character" w:styleId="871" w:customStyle="1">
    <w:name w:val="Текст выноски Знак"/>
    <w:basedOn w:val="858"/>
    <w:uiPriority w:val="99"/>
    <w:qFormat/>
    <w:rPr>
      <w:rFonts w:ascii="Tahoma" w:hAnsi="Tahoma" w:cs="Tahoma"/>
      <w:sz w:val="16"/>
      <w:szCs w:val="16"/>
    </w:rPr>
  </w:style>
  <w:style w:type="character" w:styleId="872" w:customStyle="1">
    <w:name w:val="1. Статья Знак"/>
    <w:uiPriority w:val="99"/>
    <w:qFormat/>
    <w:rPr>
      <w:sz w:val="24"/>
      <w:szCs w:val="24"/>
      <w:lang w:val="ru-RU" w:eastAsia="ru-RU"/>
    </w:rPr>
  </w:style>
  <w:style w:type="character" w:styleId="873" w:customStyle="1">
    <w:name w:val="4. Отчерк Знак"/>
    <w:uiPriority w:val="99"/>
    <w:qFormat/>
    <w:rPr>
      <w:sz w:val="24"/>
      <w:szCs w:val="24"/>
      <w:lang w:val="ru-RU" w:eastAsia="ru-RU"/>
    </w:rPr>
  </w:style>
  <w:style w:type="character" w:styleId="874">
    <w:name w:val="annotation reference"/>
    <w:basedOn w:val="858"/>
    <w:uiPriority w:val="99"/>
    <w:semiHidden/>
    <w:qFormat/>
    <w:rPr>
      <w:sz w:val="16"/>
      <w:szCs w:val="16"/>
    </w:rPr>
  </w:style>
  <w:style w:type="character" w:styleId="875" w:customStyle="1">
    <w:name w:val="Текст примечания Знак"/>
    <w:basedOn w:val="858"/>
    <w:uiPriority w:val="99"/>
    <w:qFormat/>
  </w:style>
  <w:style w:type="character" w:styleId="876" w:customStyle="1">
    <w:name w:val="Тема примечания Знак"/>
    <w:basedOn w:val="875"/>
    <w:uiPriority w:val="99"/>
    <w:qFormat/>
    <w:rPr>
      <w:b/>
      <w:bCs/>
    </w:rPr>
  </w:style>
  <w:style w:type="character" w:styleId="877" w:customStyle="1">
    <w:name w:val="Нижний колонтитул Знак"/>
    <w:basedOn w:val="858"/>
    <w:uiPriority w:val="99"/>
    <w:qFormat/>
    <w:rPr>
      <w:sz w:val="28"/>
      <w:szCs w:val="28"/>
    </w:rPr>
  </w:style>
  <w:style w:type="character" w:styleId="878" w:customStyle="1">
    <w:name w:val="Название Знак"/>
    <w:basedOn w:val="858"/>
    <w:uiPriority w:val="99"/>
    <w:qFormat/>
    <w:rPr>
      <w:b/>
      <w:bCs/>
      <w:sz w:val="22"/>
      <w:szCs w:val="22"/>
      <w:shd w:val="clear" w:color="auto" w:fill="ffffff"/>
    </w:rPr>
  </w:style>
  <w:style w:type="character" w:styleId="879" w:customStyle="1">
    <w:name w:val="Основной текст с отступом Знак"/>
    <w:basedOn w:val="858"/>
    <w:uiPriority w:val="99"/>
    <w:qFormat/>
    <w:rPr>
      <w:sz w:val="28"/>
      <w:szCs w:val="28"/>
    </w:rPr>
  </w:style>
  <w:style w:type="character" w:styleId="880" w:customStyle="1">
    <w:name w:val="Font Style16"/>
    <w:uiPriority w:val="99"/>
    <w:qFormat/>
    <w:rPr>
      <w:rFonts w:ascii="Times New Roman" w:hAnsi="Times New Roman" w:cs="Times New Roman"/>
      <w:sz w:val="24"/>
      <w:szCs w:val="24"/>
    </w:rPr>
  </w:style>
  <w:style w:type="character" w:styleId="881">
    <w:name w:val="Hyperlink"/>
    <w:basedOn w:val="858"/>
    <w:rPr>
      <w:color w:val="0000ff"/>
      <w:u w:val="single"/>
    </w:rPr>
  </w:style>
  <w:style w:type="character" w:styleId="882" w:customStyle="1">
    <w:name w:val="Текст концевой сноски Знак"/>
    <w:basedOn w:val="858"/>
    <w:uiPriority w:val="99"/>
    <w:semiHidden/>
    <w:qFormat/>
  </w:style>
  <w:style w:type="character" w:styleId="883">
    <w:name w:val="Символ концевой сноски"/>
    <w:basedOn w:val="858"/>
    <w:uiPriority w:val="99"/>
    <w:semiHidden/>
    <w:qFormat/>
    <w:rPr>
      <w:vertAlign w:val="superscript"/>
    </w:rPr>
  </w:style>
  <w:style w:type="character" w:styleId="884">
    <w:name w:val="endnote reference"/>
    <w:rPr>
      <w:vertAlign w:val="superscript"/>
    </w:rPr>
  </w:style>
  <w:style w:type="character" w:styleId="885" w:customStyle="1">
    <w:name w:val="Основной текст (2)_"/>
    <w:basedOn w:val="858"/>
    <w:uiPriority w:val="99"/>
    <w:qFormat/>
    <w:rPr>
      <w:sz w:val="22"/>
      <w:szCs w:val="22"/>
      <w:shd w:val="clear" w:color="auto" w:fill="ffffff"/>
    </w:rPr>
  </w:style>
  <w:style w:type="character" w:styleId="886" w:customStyle="1">
    <w:name w:val="Основной текст (3)_"/>
    <w:basedOn w:val="858"/>
    <w:uiPriority w:val="99"/>
    <w:qFormat/>
    <w:rPr>
      <w:b/>
      <w:bCs/>
      <w:sz w:val="22"/>
      <w:szCs w:val="22"/>
      <w:shd w:val="clear" w:color="auto" w:fill="ffffff"/>
    </w:rPr>
  </w:style>
  <w:style w:type="character" w:styleId="887" w:customStyle="1">
    <w:name w:val="Абзац списка Знак"/>
    <w:uiPriority w:val="34"/>
    <w:qFormat/>
    <w:rPr>
      <w:sz w:val="24"/>
      <w:szCs w:val="24"/>
    </w:rPr>
  </w:style>
  <w:style w:type="character" w:styleId="888" w:customStyle="1">
    <w:name w:val="Заголовок №1 (3)_"/>
    <w:uiPriority w:val="99"/>
    <w:qFormat/>
    <w:rPr>
      <w:b/>
      <w:bCs/>
      <w:sz w:val="20"/>
      <w:szCs w:val="20"/>
      <w:shd w:val="clear" w:color="auto" w:fill="ffffff"/>
    </w:rPr>
  </w:style>
  <w:style w:type="character" w:styleId="889" w:customStyle="1">
    <w:name w:val="Заголовок №1 + 9"/>
    <w:uiPriority w:val="99"/>
    <w:qFormat/>
    <w:rPr>
      <w:rFonts w:ascii="Times New Roman" w:hAnsi="Times New Roman" w:cs="Times New Roman"/>
      <w:b/>
      <w:bCs/>
      <w:spacing w:val="0"/>
      <w:sz w:val="19"/>
      <w:szCs w:val="19"/>
    </w:rPr>
  </w:style>
  <w:style w:type="character" w:styleId="890" w:customStyle="1">
    <w:name w:val="Основной текст (6)_"/>
    <w:uiPriority w:val="99"/>
    <w:qFormat/>
    <w:rPr>
      <w:b/>
      <w:bCs/>
      <w:sz w:val="19"/>
      <w:szCs w:val="19"/>
      <w:shd w:val="clear" w:color="auto" w:fill="ffffff"/>
    </w:rPr>
  </w:style>
  <w:style w:type="character" w:styleId="891" w:customStyle="1">
    <w:name w:val="Основной текст (4)_"/>
    <w:uiPriority w:val="99"/>
    <w:qFormat/>
    <w:rPr>
      <w:b/>
      <w:bCs/>
      <w:sz w:val="18"/>
      <w:szCs w:val="18"/>
      <w:shd w:val="clear" w:color="auto" w:fill="ffffff"/>
    </w:rPr>
  </w:style>
  <w:style w:type="character" w:styleId="892" w:customStyle="1">
    <w:name w:val="Основной текст (4) + 9"/>
    <w:uiPriority w:val="99"/>
    <w:qFormat/>
    <w:rPr>
      <w:rFonts w:ascii="Times New Roman" w:hAnsi="Times New Roman" w:cs="Times New Roman"/>
      <w:b/>
      <w:bCs/>
      <w:spacing w:val="0"/>
      <w:sz w:val="19"/>
      <w:szCs w:val="19"/>
    </w:rPr>
  </w:style>
  <w:style w:type="character" w:styleId="893" w:customStyle="1">
    <w:name w:val="Цитата 2 Знак"/>
    <w:basedOn w:val="858"/>
    <w:uiPriority w:val="29"/>
    <w:qFormat/>
    <w:rPr>
      <w:i/>
      <w:sz w:val="28"/>
      <w:szCs w:val="28"/>
    </w:rPr>
  </w:style>
  <w:style w:type="paragraph" w:styleId="894">
    <w:name w:val="Заголовок"/>
    <w:basedOn w:val="830"/>
    <w:next w:val="895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95">
    <w:name w:val="Body Text"/>
    <w:basedOn w:val="830"/>
    <w:uiPriority w:val="99"/>
    <w:pPr>
      <w:spacing w:before="0" w:after="120"/>
    </w:pPr>
  </w:style>
  <w:style w:type="paragraph" w:styleId="896">
    <w:name w:val="List"/>
    <w:basedOn w:val="895"/>
    <w:rPr>
      <w:rFonts w:cs="Arial Unicode MS"/>
    </w:rPr>
  </w:style>
  <w:style w:type="paragraph" w:styleId="897">
    <w:name w:val="Caption"/>
    <w:basedOn w:val="830"/>
    <w:link w:val="855"/>
    <w:uiPriority w:val="9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paragraph" w:styleId="898">
    <w:name w:val="Указатель"/>
    <w:basedOn w:val="830"/>
    <w:qFormat/>
    <w:pPr>
      <w:suppressLineNumbers/>
    </w:pPr>
    <w:rPr>
      <w:rFonts w:cs="Arial Unicode MS"/>
    </w:rPr>
  </w:style>
  <w:style w:type="paragraph" w:styleId="899">
    <w:name w:val="Subtitle"/>
    <w:basedOn w:val="830"/>
    <w:uiPriority w:val="11"/>
    <w:qFormat/>
    <w:pPr>
      <w:spacing w:before="200" w:after="200"/>
    </w:pPr>
    <w:rPr>
      <w:sz w:val="24"/>
      <w:szCs w:val="24"/>
    </w:rPr>
  </w:style>
  <w:style w:type="paragraph" w:styleId="900">
    <w:name w:val="Intense Quote"/>
    <w:basedOn w:val="830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01">
    <w:name w:val="toc 1"/>
    <w:basedOn w:val="830"/>
    <w:uiPriority w:val="39"/>
    <w:unhideWhenUsed/>
    <w:pPr>
      <w:ind w:left="0" w:right="0" w:firstLine="0"/>
      <w:spacing w:before="0" w:after="57"/>
    </w:pPr>
  </w:style>
  <w:style w:type="paragraph" w:styleId="902">
    <w:name w:val="toc 2"/>
    <w:basedOn w:val="830"/>
    <w:uiPriority w:val="39"/>
    <w:unhideWhenUsed/>
    <w:pPr>
      <w:ind w:left="283" w:right="0" w:firstLine="0"/>
      <w:spacing w:before="0" w:after="57"/>
    </w:pPr>
  </w:style>
  <w:style w:type="paragraph" w:styleId="903">
    <w:name w:val="toc 3"/>
    <w:basedOn w:val="830"/>
    <w:uiPriority w:val="39"/>
    <w:unhideWhenUsed/>
    <w:pPr>
      <w:ind w:left="567" w:right="0" w:firstLine="0"/>
      <w:spacing w:before="0" w:after="57"/>
    </w:pPr>
  </w:style>
  <w:style w:type="paragraph" w:styleId="904">
    <w:name w:val="toc 4"/>
    <w:basedOn w:val="830"/>
    <w:uiPriority w:val="39"/>
    <w:unhideWhenUsed/>
    <w:pPr>
      <w:ind w:left="850" w:right="0" w:firstLine="0"/>
      <w:spacing w:before="0" w:after="57"/>
    </w:pPr>
  </w:style>
  <w:style w:type="paragraph" w:styleId="905">
    <w:name w:val="toc 5"/>
    <w:basedOn w:val="830"/>
    <w:uiPriority w:val="39"/>
    <w:unhideWhenUsed/>
    <w:pPr>
      <w:ind w:left="1134" w:right="0" w:firstLine="0"/>
      <w:spacing w:before="0" w:after="57"/>
    </w:pPr>
  </w:style>
  <w:style w:type="paragraph" w:styleId="906">
    <w:name w:val="toc 6"/>
    <w:basedOn w:val="830"/>
    <w:uiPriority w:val="39"/>
    <w:unhideWhenUsed/>
    <w:pPr>
      <w:ind w:left="1417" w:right="0" w:firstLine="0"/>
      <w:spacing w:before="0" w:after="57"/>
    </w:pPr>
  </w:style>
  <w:style w:type="paragraph" w:styleId="907">
    <w:name w:val="toc 7"/>
    <w:basedOn w:val="830"/>
    <w:uiPriority w:val="39"/>
    <w:unhideWhenUsed/>
    <w:pPr>
      <w:ind w:left="1701" w:right="0" w:firstLine="0"/>
      <w:spacing w:before="0" w:after="57"/>
    </w:pPr>
  </w:style>
  <w:style w:type="paragraph" w:styleId="908">
    <w:name w:val="toc 8"/>
    <w:basedOn w:val="830"/>
    <w:uiPriority w:val="39"/>
    <w:unhideWhenUsed/>
    <w:pPr>
      <w:ind w:left="1984" w:right="0" w:firstLine="0"/>
      <w:spacing w:before="0" w:after="57"/>
    </w:pPr>
  </w:style>
  <w:style w:type="paragraph" w:styleId="909">
    <w:name w:val="toc 9"/>
    <w:basedOn w:val="830"/>
    <w:uiPriority w:val="39"/>
    <w:unhideWhenUsed/>
    <w:pPr>
      <w:ind w:left="2268" w:right="0" w:firstLine="0"/>
      <w:spacing w:before="0" w:after="57"/>
    </w:pPr>
  </w:style>
  <w:style w:type="paragraph" w:styleId="910">
    <w:name w:val="Index Heading"/>
    <w:basedOn w:val="894"/>
  </w:style>
  <w:style w:type="paragraph" w:styleId="911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2"/>
      <w:szCs w:val="22"/>
      <w:lang w:val="ru-RU" w:eastAsia="ru-RU" w:bidi="ar-SA"/>
    </w:rPr>
  </w:style>
  <w:style w:type="paragraph" w:styleId="912">
    <w:name w:val="table of figures"/>
    <w:basedOn w:val="830"/>
    <w:uiPriority w:val="99"/>
    <w:unhideWhenUsed/>
    <w:qFormat/>
    <w:pPr>
      <w:spacing w:before="0" w:after="0" w:afterAutospacing="0"/>
    </w:pPr>
  </w:style>
  <w:style w:type="paragraph" w:styleId="913">
    <w:name w:val="Body Text 3"/>
    <w:basedOn w:val="830"/>
    <w:qFormat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14">
    <w:name w:val="Колонтитул"/>
    <w:basedOn w:val="830"/>
    <w:qFormat/>
  </w:style>
  <w:style w:type="paragraph" w:styleId="915">
    <w:name w:val="Header"/>
    <w:basedOn w:val="830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16" w:customStyle="1">
    <w:name w:val="Style1"/>
    <w:basedOn w:val="830"/>
    <w:uiPriority w:val="99"/>
    <w:qFormat/>
    <w:pPr>
      <w:ind w:firstLine="0"/>
      <w:jc w:val="left"/>
      <w:spacing w:before="240" w:after="0" w:line="240" w:lineRule="auto"/>
    </w:pPr>
    <w:rPr>
      <w:b/>
      <w:bCs/>
      <w:sz w:val="22"/>
      <w:szCs w:val="22"/>
    </w:rPr>
  </w:style>
  <w:style w:type="paragraph" w:styleId="917">
    <w:name w:val="Body Text 2"/>
    <w:basedOn w:val="830"/>
    <w:uiPriority w:val="99"/>
    <w:qFormat/>
    <w:pPr>
      <w:ind w:firstLine="0"/>
      <w:jc w:val="left"/>
      <w:spacing w:before="0" w:after="120" w:line="480" w:lineRule="auto"/>
      <w:widowControl w:val="off"/>
    </w:pPr>
    <w:rPr>
      <w:sz w:val="20"/>
      <w:szCs w:val="20"/>
    </w:rPr>
  </w:style>
  <w:style w:type="paragraph" w:styleId="918" w:customStyle="1">
    <w:name w:val="Знак"/>
    <w:basedOn w:val="830"/>
    <w:uiPriority w:val="99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9">
    <w:name w:val="footnote text"/>
    <w:basedOn w:val="830"/>
    <w:uiPriority w:val="99"/>
    <w:semiHidden/>
    <w:pPr>
      <w:ind w:firstLine="0"/>
      <w:jc w:val="left"/>
      <w:spacing w:line="240" w:lineRule="auto"/>
    </w:pPr>
    <w:rPr>
      <w:sz w:val="20"/>
      <w:szCs w:val="20"/>
    </w:rPr>
  </w:style>
  <w:style w:type="paragraph" w:styleId="920" w:customStyle="1">
    <w:name w:val="Знак Знак Знак Знак Знак Знак Знак"/>
    <w:basedOn w:val="830"/>
    <w:uiPriority w:val="99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1" w:customStyle="1">
    <w:name w:val="Знак2"/>
    <w:basedOn w:val="830"/>
    <w:uiPriority w:val="99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2" w:customStyle="1">
    <w:name w:val="Знак Знак Знак Знак Знак Знак Знак Знак Знак"/>
    <w:basedOn w:val="830"/>
    <w:uiPriority w:val="99"/>
    <w:qFormat/>
    <w:pPr>
      <w:ind w:firstLine="0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23" w:customStyle="1">
    <w:name w:val="Пункт договора"/>
    <w:basedOn w:val="830"/>
    <w:uiPriority w:val="99"/>
    <w:qFormat/>
    <w:pPr>
      <w:ind w:firstLine="0"/>
      <w:spacing w:line="240" w:lineRule="auto"/>
      <w:widowControl w:val="off"/>
    </w:pPr>
    <w:rPr>
      <w:rFonts w:ascii="Arial" w:hAnsi="Arial" w:cs="Arial"/>
      <w:sz w:val="20"/>
      <w:szCs w:val="20"/>
    </w:rPr>
  </w:style>
  <w:style w:type="paragraph" w:styleId="924" w:customStyle="1">
    <w:name w:val="Подпункт договора"/>
    <w:basedOn w:val="830"/>
    <w:uiPriority w:val="99"/>
    <w:qFormat/>
    <w:pPr>
      <w:ind w:firstLine="0"/>
      <w:spacing w:line="240" w:lineRule="auto"/>
      <w:tabs>
        <w:tab w:val="left" w:pos="360" w:leader="none"/>
        <w:tab w:val="clear" w:pos="708" w:leader="none"/>
      </w:tabs>
    </w:pPr>
    <w:rPr>
      <w:rFonts w:ascii="Arial" w:hAnsi="Arial" w:cs="Arial"/>
      <w:sz w:val="20"/>
      <w:szCs w:val="20"/>
    </w:rPr>
  </w:style>
  <w:style w:type="paragraph" w:styleId="925">
    <w:name w:val="Body Text Indent 3"/>
    <w:basedOn w:val="830"/>
    <w:uiPriority w:val="99"/>
    <w:qFormat/>
    <w:pPr>
      <w:ind w:left="283" w:firstLine="567"/>
      <w:spacing w:before="0" w:after="120"/>
    </w:pPr>
    <w:rPr>
      <w:sz w:val="16"/>
      <w:szCs w:val="16"/>
    </w:rPr>
  </w:style>
  <w:style w:type="paragraph" w:styleId="926">
    <w:name w:val="List Paragraph"/>
    <w:basedOn w:val="830"/>
    <w:uiPriority w:val="34"/>
    <w:qFormat/>
    <w:pPr>
      <w:ind w:left="720" w:firstLine="0"/>
      <w:jc w:val="left"/>
      <w:spacing w:line="240" w:lineRule="auto"/>
    </w:pPr>
    <w:rPr>
      <w:sz w:val="24"/>
      <w:szCs w:val="24"/>
    </w:rPr>
  </w:style>
  <w:style w:type="paragraph" w:styleId="927" w:customStyle="1">
    <w:name w:val="1. Статья"/>
    <w:basedOn w:val="833"/>
    <w:uiPriority w:val="99"/>
    <w:qFormat/>
    <w:pPr>
      <w:numPr>
        <w:ilvl w:val="0"/>
        <w:numId w:val="1"/>
      </w:numPr>
      <w:ind w:right="1462" w:firstLine="0"/>
      <w:jc w:val="center"/>
      <w:keepNext w:val="0"/>
      <w:spacing w:before="0" w:after="0"/>
      <w:widowControl w:val="off"/>
      <w:tabs>
        <w:tab w:val="clear" w:pos="708" w:leader="none"/>
        <w:tab w:val="left" w:pos="2340" w:leader="none"/>
      </w:tabs>
    </w:pPr>
    <w:rPr>
      <w:b w:val="0"/>
      <w:bCs w:val="0"/>
      <w:sz w:val="24"/>
      <w:szCs w:val="24"/>
    </w:rPr>
  </w:style>
  <w:style w:type="paragraph" w:styleId="928" w:customStyle="1">
    <w:name w:val="2. Пункт"/>
    <w:basedOn w:val="833"/>
    <w:uiPriority w:val="99"/>
    <w:qFormat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bCs w:val="0"/>
      <w:sz w:val="24"/>
      <w:szCs w:val="24"/>
    </w:rPr>
  </w:style>
  <w:style w:type="paragraph" w:styleId="929" w:customStyle="1">
    <w:name w:val="3. Подпункт"/>
    <w:basedOn w:val="833"/>
    <w:uiPriority w:val="99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clear" w:pos="708" w:leader="none"/>
        <w:tab w:val="left" w:pos="1620" w:leader="none"/>
      </w:tabs>
    </w:pPr>
    <w:rPr>
      <w:sz w:val="24"/>
      <w:szCs w:val="24"/>
    </w:rPr>
  </w:style>
  <w:style w:type="paragraph" w:styleId="930" w:customStyle="1">
    <w:name w:val="ConsNormal"/>
    <w:uiPriority w:val="99"/>
    <w:qFormat/>
    <w:pPr>
      <w:ind w:right="19772" w:firstLine="720"/>
      <w:jc w:val="left"/>
      <w:spacing w:before="0" w:after="0"/>
      <w:widowControl/>
    </w:pPr>
    <w:rPr>
      <w:rFonts w:ascii="Arial" w:hAnsi="Arial" w:eastAsia="Noto Serif CJK SC" w:cs="Arial"/>
      <w:color w:val="auto"/>
      <w:sz w:val="32"/>
      <w:szCs w:val="32"/>
      <w:lang w:val="ru-RU" w:eastAsia="en-US" w:bidi="ar-SA"/>
    </w:rPr>
  </w:style>
  <w:style w:type="paragraph" w:styleId="931">
    <w:name w:val="Balloon Text"/>
    <w:basedOn w:val="830"/>
    <w:uiPriority w:val="99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932" w:customStyle="1">
    <w:name w:val="4. Отчерк"/>
    <w:basedOn w:val="830"/>
    <w:uiPriority w:val="99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paragraph" w:styleId="933">
    <w:name w:val="annotation text"/>
    <w:basedOn w:val="830"/>
    <w:uiPriority w:val="99"/>
    <w:semiHidden/>
    <w:qFormat/>
    <w:pPr>
      <w:spacing w:line="240" w:lineRule="auto"/>
    </w:pPr>
    <w:rPr>
      <w:sz w:val="20"/>
      <w:szCs w:val="20"/>
    </w:rPr>
  </w:style>
  <w:style w:type="paragraph" w:styleId="934">
    <w:name w:val="annotation subject"/>
    <w:basedOn w:val="933"/>
    <w:uiPriority w:val="99"/>
    <w:semiHidden/>
    <w:qFormat/>
    <w:rPr>
      <w:b/>
      <w:bCs/>
    </w:rPr>
  </w:style>
  <w:style w:type="paragraph" w:styleId="935">
    <w:name w:val="Footer"/>
    <w:basedOn w:val="830"/>
    <w:uiPriority w:val="99"/>
    <w:pPr>
      <w:spacing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36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8"/>
      <w:szCs w:val="28"/>
      <w:lang w:val="ru-RU" w:eastAsia="ru-RU" w:bidi="ar-SA"/>
    </w:rPr>
  </w:style>
  <w:style w:type="paragraph" w:styleId="937" w:customStyle="1">
    <w:name w:val="Title"/>
    <w:basedOn w:val="830"/>
    <w:uiPriority w:val="99"/>
    <w:qFormat/>
    <w:pPr>
      <w:ind w:firstLine="0"/>
      <w:jc w:val="center"/>
      <w:spacing w:before="0" w:after="120" w:line="240" w:lineRule="auto"/>
      <w:widowControl w:val="off"/>
    </w:pPr>
    <w:rPr>
      <w:b/>
      <w:bCs/>
      <w:sz w:val="32"/>
      <w:szCs w:val="32"/>
    </w:rPr>
  </w:style>
  <w:style w:type="paragraph" w:styleId="938">
    <w:name w:val="Body Text Indent"/>
    <w:basedOn w:val="830"/>
    <w:uiPriority w:val="99"/>
    <w:pPr>
      <w:ind w:left="283" w:firstLine="567"/>
      <w:spacing w:before="0" w:after="120"/>
    </w:pPr>
  </w:style>
  <w:style w:type="paragraph" w:styleId="939" w:customStyle="1">
    <w:name w:val="Пункт 3.3.3"/>
    <w:basedOn w:val="830"/>
    <w:uiPriority w:val="99"/>
    <w:qFormat/>
    <w:pPr>
      <w:ind w:left="704" w:hanging="504"/>
      <w:jc w:val="left"/>
      <w:keepLines/>
      <w:keepNext/>
      <w:spacing w:before="240" w:after="240" w:line="240" w:lineRule="auto"/>
      <w:widowControl w:val="off"/>
      <w:tabs>
        <w:tab w:val="clear" w:pos="708" w:leader="none"/>
        <w:tab w:val="left" w:pos="920" w:leader="none"/>
      </w:tabs>
      <w:outlineLvl w:val="1"/>
    </w:pPr>
    <w:rPr>
      <w:sz w:val="24"/>
      <w:szCs w:val="24"/>
    </w:rPr>
  </w:style>
  <w:style w:type="paragraph" w:styleId="940" w:customStyle="1">
    <w:name w:val="Знак1"/>
    <w:basedOn w:val="830"/>
    <w:uiPriority w:val="99"/>
    <w:qFormat/>
    <w:pPr>
      <w:ind w:firstLine="0"/>
      <w:jc w:val="left"/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Контракт-раздел"/>
    <w:basedOn w:val="830"/>
    <w:uiPriority w:val="99"/>
    <w:qFormat/>
    <w:pPr>
      <w:numPr>
        <w:ilvl w:val="0"/>
        <w:numId w:val="4"/>
      </w:numPr>
      <w:ind w:firstLine="0"/>
      <w:jc w:val="center"/>
      <w:keepLines/>
      <w:keepNext/>
      <w:spacing w:before="360" w:after="120" w:line="240" w:lineRule="auto"/>
      <w:tabs>
        <w:tab w:val="left" w:pos="0" w:leader="none"/>
        <w:tab w:val="left" w:pos="567" w:leader="none"/>
        <w:tab w:val="clear" w:pos="708" w:leader="none"/>
      </w:tabs>
      <w:outlineLvl w:val="1"/>
    </w:pPr>
    <w:rPr>
      <w:b/>
      <w:bCs/>
      <w:caps/>
    </w:rPr>
  </w:style>
  <w:style w:type="paragraph" w:styleId="942" w:customStyle="1">
    <w:name w:val="Контракт-пункт"/>
    <w:basedOn w:val="830"/>
    <w:uiPriority w:val="99"/>
    <w:qFormat/>
    <w:pPr>
      <w:numPr>
        <w:ilvl w:val="1"/>
        <w:numId w:val="4"/>
      </w:numPr>
    </w:pPr>
  </w:style>
  <w:style w:type="paragraph" w:styleId="943" w:customStyle="1">
    <w:name w:val="Контракт-подпункт"/>
    <w:basedOn w:val="830"/>
    <w:uiPriority w:val="99"/>
    <w:qFormat/>
    <w:pPr>
      <w:numPr>
        <w:ilvl w:val="2"/>
        <w:numId w:val="4"/>
      </w:numPr>
    </w:pPr>
  </w:style>
  <w:style w:type="paragraph" w:styleId="944" w:customStyle="1">
    <w:name w:val="Контракт-подподпункт"/>
    <w:basedOn w:val="830"/>
    <w:uiPriority w:val="99"/>
    <w:qFormat/>
    <w:pPr>
      <w:numPr>
        <w:ilvl w:val="3"/>
        <w:numId w:val="4"/>
      </w:numPr>
    </w:pPr>
  </w:style>
  <w:style w:type="paragraph" w:styleId="945">
    <w:name w:val="endnote text"/>
    <w:basedOn w:val="830"/>
    <w:uiPriority w:val="99"/>
    <w:semiHidden/>
    <w:rPr>
      <w:sz w:val="20"/>
      <w:szCs w:val="20"/>
    </w:rPr>
  </w:style>
  <w:style w:type="paragraph" w:styleId="946" w:customStyle="1">
    <w:name w:val="Основной текст (2)"/>
    <w:basedOn w:val="830"/>
    <w:uiPriority w:val="99"/>
    <w:qFormat/>
    <w:pPr>
      <w:ind w:firstLine="0"/>
      <w:spacing w:line="281" w:lineRule="exact"/>
      <w:shd w:val="clear" w:color="auto" w:fill="ffffff"/>
      <w:widowControl w:val="off"/>
    </w:pPr>
    <w:rPr>
      <w:sz w:val="22"/>
      <w:szCs w:val="22"/>
    </w:rPr>
  </w:style>
  <w:style w:type="paragraph" w:styleId="947" w:customStyle="1">
    <w:name w:val="Основной текст (3)"/>
    <w:basedOn w:val="830"/>
    <w:uiPriority w:val="99"/>
    <w:qFormat/>
    <w:pPr>
      <w:ind w:firstLine="0"/>
      <w:jc w:val="center"/>
      <w:spacing w:before="280" w:after="140" w:line="244" w:lineRule="exact"/>
      <w:shd w:val="clear" w:color="auto" w:fill="ffffff"/>
      <w:widowControl w:val="off"/>
    </w:pPr>
    <w:rPr>
      <w:b/>
      <w:bCs/>
      <w:sz w:val="22"/>
      <w:szCs w:val="22"/>
    </w:rPr>
  </w:style>
  <w:style w:type="paragraph" w:styleId="948" w:customStyle="1">
    <w:name w:val="Пункт"/>
    <w:basedOn w:val="830"/>
    <w:uiPriority w:val="99"/>
    <w:qFormat/>
    <w:pPr>
      <w:ind w:left="1134" w:hanging="1134"/>
      <w:tabs>
        <w:tab w:val="clear" w:pos="708" w:leader="none"/>
        <w:tab w:val="left" w:pos="1134" w:leader="none"/>
      </w:tabs>
    </w:pPr>
  </w:style>
  <w:style w:type="paragraph" w:styleId="949" w:customStyle="1">
    <w:name w:val="Подпункт"/>
    <w:basedOn w:val="948"/>
    <w:uiPriority w:val="99"/>
    <w:qFormat/>
  </w:style>
  <w:style w:type="paragraph" w:styleId="950" w:customStyle="1">
    <w:name w:val="Подподпункт"/>
    <w:basedOn w:val="949"/>
    <w:uiPriority w:val="99"/>
    <w:qFormat/>
    <w:pPr>
      <w:ind w:left="1701" w:hanging="567"/>
      <w:tabs>
        <w:tab w:val="clear" w:pos="1134" w:leader="none"/>
        <w:tab w:val="left" w:pos="1701" w:leader="none"/>
      </w:tabs>
    </w:pPr>
  </w:style>
  <w:style w:type="paragraph" w:styleId="951" w:customStyle="1">
    <w:name w:val="Пункт_2"/>
    <w:basedOn w:val="830"/>
    <w:qFormat/>
    <w:pPr>
      <w:numPr>
        <w:ilvl w:val="1"/>
        <w:numId w:val="5"/>
      </w:numPr>
      <w:widowControl w:val="off"/>
    </w:pPr>
  </w:style>
  <w:style w:type="paragraph" w:styleId="952">
    <w:name w:val="No Spacing"/>
    <w:uiPriority w:val="1"/>
    <w:qFormat/>
    <w:pPr>
      <w:jc w:val="left"/>
      <w:spacing w:before="0" w:after="0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953" w:customStyle="1">
    <w:name w:val="Заголовок №1 (3)"/>
    <w:basedOn w:val="830"/>
    <w:uiPriority w:val="99"/>
    <w:qFormat/>
    <w:pPr>
      <w:ind w:firstLine="0"/>
      <w:jc w:val="center"/>
      <w:spacing w:before="1200" w:after="0" w:line="250" w:lineRule="exact"/>
      <w:shd w:val="clear" w:color="auto" w:fill="ffffff"/>
      <w:outlineLvl w:val="0"/>
    </w:pPr>
    <w:rPr>
      <w:b/>
      <w:bCs/>
      <w:sz w:val="20"/>
      <w:szCs w:val="20"/>
    </w:rPr>
  </w:style>
  <w:style w:type="paragraph" w:styleId="954" w:customStyle="1">
    <w:name w:val="Основной текст (6)"/>
    <w:basedOn w:val="830"/>
    <w:uiPriority w:val="99"/>
    <w:qFormat/>
    <w:pPr>
      <w:ind w:firstLine="0"/>
      <w:jc w:val="left"/>
      <w:spacing w:line="240" w:lineRule="atLeast"/>
      <w:shd w:val="clear" w:color="auto" w:fill="ffffff"/>
    </w:pPr>
    <w:rPr>
      <w:b/>
      <w:bCs/>
      <w:sz w:val="19"/>
      <w:szCs w:val="19"/>
    </w:rPr>
  </w:style>
  <w:style w:type="paragraph" w:styleId="955" w:customStyle="1">
    <w:name w:val="Основной текст (4)"/>
    <w:basedOn w:val="830"/>
    <w:uiPriority w:val="99"/>
    <w:qFormat/>
    <w:pPr>
      <w:ind w:firstLine="0"/>
      <w:jc w:val="left"/>
      <w:spacing w:line="240" w:lineRule="atLeast"/>
      <w:shd w:val="clear" w:color="auto" w:fill="ffffff"/>
    </w:pPr>
    <w:rPr>
      <w:b/>
      <w:bCs/>
      <w:sz w:val="18"/>
      <w:szCs w:val="18"/>
    </w:rPr>
  </w:style>
  <w:style w:type="paragraph" w:styleId="956" w:customStyle="1">
    <w:name w:val="fr1"/>
    <w:basedOn w:val="830"/>
    <w:qFormat/>
    <w:pPr>
      <w:ind w:left="150" w:right="150" w:firstLine="0"/>
      <w:jc w:val="left"/>
      <w:spacing w:before="150" w:after="150" w:line="240" w:lineRule="auto"/>
    </w:pPr>
    <w:rPr>
      <w:sz w:val="24"/>
      <w:szCs w:val="24"/>
    </w:rPr>
  </w:style>
  <w:style w:type="paragraph" w:styleId="957">
    <w:name w:val="Quote"/>
    <w:basedOn w:val="830"/>
    <w:uiPriority w:val="29"/>
    <w:qFormat/>
    <w:pPr>
      <w:ind w:left="720" w:right="720" w:firstLine="567"/>
    </w:pPr>
    <w:rPr>
      <w:i/>
    </w:rPr>
  </w:style>
  <w:style w:type="paragraph" w:styleId="958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numbering" w:styleId="959" w:default="1">
    <w:name w:val="No List"/>
    <w:uiPriority w:val="99"/>
    <w:semiHidden/>
    <w:unhideWhenUsed/>
    <w:qFormat/>
  </w:style>
  <w:style w:type="table" w:styleId="96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mailto:ld@rushydro.ru" TargetMode="External"/><Relationship Id="rId12" Type="http://schemas.openxmlformats.org/officeDocument/2006/relationships/hyperlink" Target="http://www.rushydro.ru/" TargetMode="External"/><Relationship Id="rId13" Type="http://schemas.openxmlformats.org/officeDocument/2006/relationships/hyperlink" Target="consultantplus://offline/ref=94D5CE8889791A29DE57299515463A9D6134D8237B999C803E6F853513x2A2P" TargetMode="External"/><Relationship Id="rId14" Type="http://schemas.openxmlformats.org/officeDocument/2006/relationships/hyperlink" Target="consultantplus://offline/ref=94D5CE8889791A29DE57299515463A9D6135D2287D929C803E6F853513x2A2P" TargetMode="External"/><Relationship Id="rId15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dc:language>ru-RU</dc:language>
  <cp:lastModifiedBy>mameychik-aa</cp:lastModifiedBy>
  <cp:revision>39</cp:revision>
  <dcterms:created xsi:type="dcterms:W3CDTF">2022-03-21T06:58:00Z</dcterms:created>
  <dcterms:modified xsi:type="dcterms:W3CDTF">2026-05-15T00:06:53Z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